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8" w:lineRule="auto"/>
        <w:rPr>
          <w:rFonts w:ascii="Arial"/>
          <w:sz w:val="21"/>
        </w:rPr>
      </w:pPr>
    </w:p>
    <w:p>
      <w:pPr>
        <w:spacing w:before="97" w:line="219" w:lineRule="auto"/>
        <w:ind w:left="5316"/>
        <w:outlineLvl w:val="0"/>
        <w:rPr>
          <w:rFonts w:ascii="宋体" w:hAnsi="宋体" w:eastAsia="宋体" w:cs="宋体"/>
          <w:sz w:val="30"/>
          <w:szCs w:val="30"/>
        </w:rPr>
      </w:pPr>
      <w:r>
        <w:rPr>
          <w:rFonts w:hint="eastAsia" w:ascii="宋体" w:hAnsi="宋体" w:eastAsia="宋体" w:cs="宋体"/>
          <w:spacing w:val="-3"/>
          <w:sz w:val="30"/>
          <w:szCs w:val="30"/>
          <w:lang w:eastAsia="zh-CN"/>
        </w:rPr>
        <w:t>米林市</w:t>
      </w:r>
      <w:r>
        <w:rPr>
          <w:rFonts w:ascii="宋体" w:hAnsi="宋体" w:eastAsia="宋体" w:cs="宋体"/>
          <w:spacing w:val="-3"/>
          <w:sz w:val="30"/>
          <w:szCs w:val="30"/>
        </w:rPr>
        <w:t>审计局分类检查目录</w:t>
      </w:r>
    </w:p>
    <w:p>
      <w:pPr>
        <w:spacing w:before="145"/>
      </w:pPr>
    </w:p>
    <w:tbl>
      <w:tblPr>
        <w:tblStyle w:val="6"/>
        <w:tblW w:w="145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1076"/>
        <w:gridCol w:w="5194"/>
        <w:gridCol w:w="76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38" w:type="dxa"/>
            <w:vAlign w:val="top"/>
          </w:tcPr>
          <w:p>
            <w:pPr>
              <w:pStyle w:val="7"/>
              <w:spacing w:before="212" w:line="230" w:lineRule="auto"/>
              <w:ind w:left="117"/>
            </w:pPr>
            <w:r>
              <w:rPr>
                <w:b/>
                <w:bCs/>
                <w:spacing w:val="2"/>
              </w:rPr>
              <w:t>序号</w:t>
            </w:r>
          </w:p>
        </w:tc>
        <w:tc>
          <w:tcPr>
            <w:tcW w:w="1076" w:type="dxa"/>
            <w:vAlign w:val="top"/>
          </w:tcPr>
          <w:p>
            <w:pPr>
              <w:pStyle w:val="7"/>
              <w:spacing w:before="207" w:line="229" w:lineRule="auto"/>
              <w:ind w:left="272"/>
            </w:pPr>
            <w:r>
              <w:rPr>
                <w:b/>
                <w:bCs/>
                <w:spacing w:val="3"/>
              </w:rPr>
              <w:t>检查事项</w:t>
            </w:r>
          </w:p>
        </w:tc>
        <w:tc>
          <w:tcPr>
            <w:tcW w:w="5194" w:type="dxa"/>
            <w:vAlign w:val="top"/>
          </w:tcPr>
          <w:p>
            <w:pPr>
              <w:pStyle w:val="7"/>
              <w:spacing w:before="207" w:line="229" w:lineRule="auto"/>
            </w:pPr>
            <w:r>
              <w:rPr>
                <w:b/>
                <w:bCs/>
                <w:spacing w:val="3"/>
              </w:rPr>
              <w:t>检查内容</w:t>
            </w:r>
          </w:p>
        </w:tc>
        <w:tc>
          <w:tcPr>
            <w:tcW w:w="7645" w:type="dxa"/>
            <w:vAlign w:val="top"/>
          </w:tcPr>
          <w:p>
            <w:pPr>
              <w:pStyle w:val="7"/>
              <w:spacing w:before="207" w:line="228" w:lineRule="auto"/>
              <w:ind w:left="2329"/>
            </w:pPr>
            <w:r>
              <w:rPr>
                <w:b/>
                <w:bCs/>
                <w:spacing w:val="3"/>
              </w:rPr>
              <w:t>检查依据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638" w:type="dxa"/>
            <w:tcBorders>
              <w:bottom w:val="single" w:color="auto" w:sz="4" w:space="0"/>
            </w:tcBorders>
            <w:vAlign w:val="top"/>
          </w:tcPr>
          <w:p>
            <w:pPr>
              <w:spacing w:line="249" w:lineRule="auto"/>
              <w:rPr>
                <w:rFonts w:ascii="Arial"/>
                <w:sz w:val="21"/>
              </w:rPr>
            </w:pPr>
          </w:p>
          <w:p>
            <w:pPr>
              <w:pStyle w:val="7"/>
              <w:spacing w:before="62" w:line="257" w:lineRule="exact"/>
              <w:ind w:left="231"/>
              <w:rPr>
                <w:rFonts w:hint="default" w:eastAsia="宋体"/>
                <w:lang w:val="en-US" w:eastAsia="zh-CN"/>
              </w:rPr>
            </w:pPr>
            <w:r>
              <w:rPr>
                <w:rFonts w:hint="eastAsia"/>
                <w:lang w:val="en-US" w:eastAsia="zh-CN"/>
              </w:rPr>
              <w:t>1</w:t>
            </w:r>
          </w:p>
        </w:tc>
        <w:tc>
          <w:tcPr>
            <w:tcW w:w="1076" w:type="dxa"/>
            <w:vMerge w:val="restart"/>
            <w:vAlign w:val="top"/>
          </w:tcPr>
          <w:p>
            <w:pPr>
              <w:spacing w:line="241" w:lineRule="auto"/>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pStyle w:val="7"/>
              <w:spacing w:before="62" w:line="230" w:lineRule="auto"/>
              <w:jc w:val="center"/>
            </w:pPr>
            <w:r>
              <w:rPr>
                <w:spacing w:val="7"/>
              </w:rPr>
              <w:t>审计监督</w:t>
            </w:r>
          </w:p>
        </w:tc>
        <w:tc>
          <w:tcPr>
            <w:tcW w:w="5194" w:type="dxa"/>
            <w:vAlign w:val="top"/>
          </w:tcPr>
          <w:p>
            <w:pPr>
              <w:pStyle w:val="7"/>
              <w:spacing w:before="126" w:line="227" w:lineRule="auto"/>
              <w:ind w:right="104"/>
            </w:pPr>
            <w:r>
              <w:rPr>
                <w:spacing w:val="9"/>
              </w:rPr>
              <w:t>对党政主要领导干部及其他单位负责人实施经济责任审计和自然资源资产离任</w:t>
            </w:r>
            <w:r>
              <w:rPr>
                <w:spacing w:val="1"/>
              </w:rPr>
              <w:t>审计。</w:t>
            </w:r>
          </w:p>
        </w:tc>
        <w:tc>
          <w:tcPr>
            <w:tcW w:w="7645" w:type="dxa"/>
            <w:vMerge w:val="restart"/>
            <w:vAlign w:val="top"/>
          </w:tcPr>
          <w:p>
            <w:pPr>
              <w:pStyle w:val="7"/>
              <w:spacing w:before="62" w:line="243" w:lineRule="auto"/>
              <w:ind w:right="118"/>
              <w:jc w:val="both"/>
            </w:pPr>
            <w:r>
              <w:rPr>
                <w:spacing w:val="5"/>
              </w:rPr>
              <w:t>《中华人民共和国审计法》</w:t>
            </w:r>
            <w:r>
              <w:rPr>
                <w:spacing w:val="-26"/>
              </w:rPr>
              <w:t xml:space="preserve"> </w:t>
            </w:r>
            <w:r>
              <w:rPr>
                <w:spacing w:val="5"/>
              </w:rPr>
              <w:t>(1994年8月31日第八届全国人民代</w:t>
            </w:r>
            <w:r>
              <w:t xml:space="preserve">  </w:t>
            </w:r>
            <w:r>
              <w:rPr>
                <w:spacing w:val="9"/>
              </w:rPr>
              <w:t>表大会常务委员会第九次会议通过，根据2021年10月23日第十</w:t>
            </w:r>
            <w:r>
              <w:rPr>
                <w:spacing w:val="4"/>
              </w:rPr>
              <w:t xml:space="preserve"> </w:t>
            </w:r>
            <w:r>
              <w:rPr>
                <w:spacing w:val="10"/>
              </w:rPr>
              <w:t>三届全国人民代表大会常务委员会第三十一次会议《关于修改</w:t>
            </w:r>
            <w:r>
              <w:rPr>
                <w:spacing w:val="9"/>
              </w:rPr>
              <w:t>《中华人民共和国审计法》</w:t>
            </w:r>
            <w:r>
              <w:rPr>
                <w:spacing w:val="-44"/>
              </w:rPr>
              <w:t xml:space="preserve"> </w:t>
            </w:r>
            <w:r>
              <w:rPr>
                <w:spacing w:val="9"/>
              </w:rPr>
              <w:t>的决定》第二次修正)第2、3、4、</w:t>
            </w:r>
            <w:r>
              <w:rPr>
                <w:spacing w:val="6"/>
              </w:rPr>
              <w:t>5、18、19、20、21、22、23、24、25、26、34、36、37</w:t>
            </w:r>
            <w:r>
              <w:rPr>
                <w:spacing w:val="5"/>
              </w:rPr>
              <w:t>、41、</w:t>
            </w:r>
            <w:r>
              <w:rPr>
                <w:spacing w:val="7"/>
              </w:rPr>
              <w:t>42、43、44、45、49、50、51、52、53、54、58条</w:t>
            </w:r>
          </w:p>
          <w:p>
            <w:pPr>
              <w:pStyle w:val="7"/>
              <w:spacing w:before="23" w:line="243" w:lineRule="auto"/>
              <w:ind w:left="77" w:right="148" w:hanging="34"/>
            </w:pPr>
            <w:r>
              <w:rPr>
                <w:spacing w:val="5"/>
              </w:rPr>
              <w:t>《中华人民共和国预算法》</w:t>
            </w:r>
            <w:r>
              <w:rPr>
                <w:spacing w:val="-26"/>
              </w:rPr>
              <w:t xml:space="preserve"> </w:t>
            </w:r>
            <w:r>
              <w:rPr>
                <w:spacing w:val="5"/>
              </w:rPr>
              <w:t>(1994年3月22日第八届全国人民代</w:t>
            </w:r>
            <w:r>
              <w:t xml:space="preserve"> </w:t>
            </w:r>
            <w:r>
              <w:rPr>
                <w:spacing w:val="8"/>
              </w:rPr>
              <w:t>表大会第二次会议通过，根据2018年12月29日第十三届全国人</w:t>
            </w:r>
            <w:r>
              <w:rPr>
                <w:spacing w:val="4"/>
              </w:rPr>
              <w:t xml:space="preserve"> </w:t>
            </w:r>
            <w:r>
              <w:rPr>
                <w:spacing w:val="9"/>
              </w:rPr>
              <w:t>民代表大会常务委员会第七次会议《关于修改(中华人民共和国产品质量法》等五部法律的决定》第二次修正)第7</w:t>
            </w:r>
            <w:r>
              <w:rPr>
                <w:spacing w:val="8"/>
              </w:rPr>
              <w:t>7、89条</w:t>
            </w:r>
            <w:r>
              <w:t xml:space="preserve"> </w:t>
            </w:r>
            <w:r>
              <w:rPr>
                <w:spacing w:val="5"/>
              </w:rPr>
              <w:t>《中华人民共和国政府采购法》</w:t>
            </w:r>
            <w:r>
              <w:rPr>
                <w:spacing w:val="-28"/>
              </w:rPr>
              <w:t xml:space="preserve"> </w:t>
            </w:r>
            <w:r>
              <w:rPr>
                <w:spacing w:val="5"/>
              </w:rPr>
              <w:t>(2002年6月29日第九届全</w:t>
            </w:r>
            <w:r>
              <w:rPr>
                <w:spacing w:val="8"/>
              </w:rPr>
              <w:t>国人民代表大会常务委员会第二十八次会议通过根据2014年8</w:t>
            </w:r>
            <w:r>
              <w:rPr>
                <w:spacing w:val="2"/>
              </w:rPr>
              <w:t xml:space="preserve">  </w:t>
            </w:r>
            <w:r>
              <w:rPr>
                <w:spacing w:val="9"/>
              </w:rPr>
              <w:t>月31日第十二届全国人民代表大会常务委员会第十次会议《关</w:t>
            </w:r>
            <w:r>
              <w:rPr>
                <w:spacing w:val="7"/>
              </w:rPr>
              <w:t xml:space="preserve"> </w:t>
            </w:r>
            <w:r>
              <w:rPr>
                <w:spacing w:val="11"/>
              </w:rPr>
              <w:t>于修改&lt;中华人民共和国保险法&gt;等五部法律的决定》</w:t>
            </w:r>
            <w:r>
              <w:rPr>
                <w:spacing w:val="10"/>
              </w:rPr>
              <w:t>修正)第</w:t>
            </w:r>
            <w:r>
              <w:t xml:space="preserve"> </w:t>
            </w:r>
            <w:r>
              <w:rPr>
                <w:spacing w:val="10"/>
              </w:rPr>
              <w:t>68条</w:t>
            </w:r>
          </w:p>
          <w:p>
            <w:pPr>
              <w:pStyle w:val="7"/>
              <w:spacing w:before="3" w:line="229" w:lineRule="auto"/>
              <w:ind w:left="43"/>
            </w:pPr>
            <w:r>
              <w:rPr>
                <w:spacing w:val="5"/>
              </w:rPr>
              <w:t>《中华人民共和国审计法实施条例》</w:t>
            </w:r>
            <w:r>
              <w:rPr>
                <w:spacing w:val="-29"/>
              </w:rPr>
              <w:t xml:space="preserve"> </w:t>
            </w:r>
            <w:r>
              <w:rPr>
                <w:spacing w:val="5"/>
              </w:rPr>
              <w:t>(1997年10月21日中华人</w:t>
            </w:r>
            <w:r>
              <w:rPr>
                <w:spacing w:val="7"/>
              </w:rPr>
              <w:t>民共和国国务院令第231号公布2010年2月2日国务院第100次常</w:t>
            </w:r>
            <w:r>
              <w:rPr>
                <w:spacing w:val="8"/>
              </w:rPr>
              <w:t xml:space="preserve"> </w:t>
            </w:r>
            <w:r>
              <w:rPr>
                <w:spacing w:val="9"/>
              </w:rPr>
              <w:t>务会议修订通过2010年2月11日中华人民</w:t>
            </w:r>
            <w:r>
              <w:rPr>
                <w:spacing w:val="8"/>
              </w:rPr>
              <w:t>共和国国务院令第571</w:t>
            </w:r>
            <w:r>
              <w:t xml:space="preserve"> </w:t>
            </w:r>
            <w:r>
              <w:rPr>
                <w:spacing w:val="9"/>
              </w:rPr>
              <w:t>号公布自2010年5月1日起施行)第15、16、17、19、20、21、</w:t>
            </w:r>
            <w:r>
              <w:rPr>
                <w:spacing w:val="5"/>
              </w:rPr>
              <w:t>22、23、24、28、29、30、33、40、42条</w:t>
            </w:r>
          </w:p>
          <w:p>
            <w:pPr>
              <w:pStyle w:val="7"/>
              <w:spacing w:before="16" w:line="229" w:lineRule="auto"/>
              <w:ind w:left="33"/>
            </w:pPr>
            <w:r>
              <w:rPr>
                <w:spacing w:val="5"/>
              </w:rPr>
              <w:t>《中华人民共和国预算法实施条例》</w:t>
            </w:r>
            <w:r>
              <w:rPr>
                <w:spacing w:val="-32"/>
              </w:rPr>
              <w:t xml:space="preserve"> </w:t>
            </w:r>
            <w:r>
              <w:rPr>
                <w:spacing w:val="5"/>
              </w:rPr>
              <w:t>(1995年11月22日中华人</w:t>
            </w:r>
            <w:r>
              <w:rPr>
                <w:spacing w:val="8"/>
              </w:rPr>
              <w:t>民共和国国务院令第186号发布，2020年8月3日中华人民共和国</w:t>
            </w:r>
            <w:r>
              <w:rPr>
                <w:spacing w:val="5"/>
              </w:rPr>
              <w:t xml:space="preserve"> </w:t>
            </w:r>
            <w:r>
              <w:rPr>
                <w:spacing w:val="6"/>
              </w:rPr>
              <w:t>国务院令第729号修订)第87、92条</w:t>
            </w:r>
          </w:p>
          <w:p>
            <w:pPr>
              <w:pStyle w:val="7"/>
              <w:spacing w:before="1" w:line="228" w:lineRule="auto"/>
              <w:ind w:left="16"/>
            </w:pPr>
            <w:r>
              <w:rPr>
                <w:spacing w:val="5"/>
              </w:rPr>
              <w:t>《财政违法行为处罚处分条例》</w:t>
            </w:r>
            <w:r>
              <w:rPr>
                <w:spacing w:val="-29"/>
              </w:rPr>
              <w:t xml:space="preserve"> </w:t>
            </w:r>
            <w:r>
              <w:rPr>
                <w:spacing w:val="5"/>
              </w:rPr>
              <w:t>(2004年11月30日中华人民共</w:t>
            </w:r>
            <w:r>
              <w:rPr>
                <w:spacing w:val="8"/>
              </w:rPr>
              <w:t>和国国务院令第427号公布，根据2011年1月8日《国务院</w:t>
            </w:r>
            <w:r>
              <w:rPr>
                <w:spacing w:val="7"/>
              </w:rPr>
              <w:t>关于废</w:t>
            </w:r>
            <w:r>
              <w:t xml:space="preserve"> </w:t>
            </w:r>
            <w:r>
              <w:rPr>
                <w:spacing w:val="7"/>
              </w:rPr>
              <w:t>止和修改部分行政法规的决定》修订)第2、21、22条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38" w:type="dxa"/>
            <w:tcBorders>
              <w:top w:val="single" w:color="auto" w:sz="4" w:space="0"/>
              <w:bottom w:val="single" w:color="auto" w:sz="4" w:space="0"/>
            </w:tcBorders>
            <w:vAlign w:val="top"/>
          </w:tcPr>
          <w:p>
            <w:pPr>
              <w:pStyle w:val="7"/>
              <w:spacing w:before="62" w:line="257" w:lineRule="exact"/>
              <w:ind w:left="231"/>
              <w:rPr>
                <w:rFonts w:hint="eastAsia" w:eastAsia="宋体"/>
                <w:lang w:val="en-US" w:eastAsia="zh-CN"/>
              </w:rPr>
            </w:pPr>
            <w:r>
              <w:rPr>
                <w:rFonts w:hint="eastAsia"/>
                <w:lang w:val="en-US" w:eastAsia="zh-CN"/>
              </w:rPr>
              <w:t>2</w:t>
            </w:r>
          </w:p>
        </w:tc>
        <w:tc>
          <w:tcPr>
            <w:tcW w:w="1076" w:type="dxa"/>
            <w:vMerge w:val="continue"/>
            <w:tcBorders/>
            <w:vAlign w:val="top"/>
          </w:tcPr>
          <w:p>
            <w:pPr>
              <w:pStyle w:val="7"/>
              <w:spacing w:before="62" w:line="230" w:lineRule="auto"/>
              <w:ind w:left="273"/>
              <w:rPr>
                <w:spacing w:val="7"/>
              </w:rPr>
            </w:pPr>
          </w:p>
        </w:tc>
        <w:tc>
          <w:tcPr>
            <w:tcW w:w="5194" w:type="dxa"/>
            <w:tcBorders>
              <w:top w:val="single" w:color="auto" w:sz="4" w:space="0"/>
              <w:bottom w:val="single" w:color="auto" w:sz="4" w:space="0"/>
            </w:tcBorders>
            <w:vAlign w:val="top"/>
          </w:tcPr>
          <w:p>
            <w:pPr>
              <w:pStyle w:val="7"/>
              <w:spacing w:before="187" w:line="228" w:lineRule="auto"/>
              <w:ind w:left="65" w:right="306" w:hanging="7"/>
              <w:rPr>
                <w:spacing w:val="10"/>
              </w:rPr>
            </w:pPr>
            <w:r>
              <w:rPr>
                <w:spacing w:val="9"/>
              </w:rPr>
              <w:t>对本级各部门(含直属单位)和下级政府预算的执行情况和决算以及其他财政</w:t>
            </w:r>
            <w:r>
              <w:rPr>
                <w:spacing w:val="6"/>
              </w:rPr>
              <w:t xml:space="preserve"> 收支情况，进行审计监督。</w:t>
            </w:r>
          </w:p>
        </w:tc>
        <w:tc>
          <w:tcPr>
            <w:tcW w:w="7645" w:type="dxa"/>
            <w:vMerge w:val="continue"/>
            <w:vAlign w:val="top"/>
          </w:tcPr>
          <w:p>
            <w:pPr>
              <w:pStyle w:val="7"/>
              <w:spacing w:before="38" w:line="237" w:lineRule="auto"/>
              <w:ind w:left="78" w:right="90" w:hanging="40"/>
              <w:rPr>
                <w:spacing w:val="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38" w:type="dxa"/>
            <w:tcBorders>
              <w:top w:val="single" w:color="auto" w:sz="4" w:space="0"/>
              <w:bottom w:val="single" w:color="auto" w:sz="4" w:space="0"/>
            </w:tcBorders>
            <w:vAlign w:val="top"/>
          </w:tcPr>
          <w:p>
            <w:pPr>
              <w:pStyle w:val="7"/>
              <w:spacing w:before="62" w:line="257" w:lineRule="exact"/>
              <w:ind w:left="231"/>
              <w:rPr>
                <w:rFonts w:hint="eastAsia" w:eastAsia="宋体"/>
                <w:lang w:val="en-US" w:eastAsia="zh-CN"/>
              </w:rPr>
            </w:pPr>
            <w:r>
              <w:rPr>
                <w:rFonts w:hint="eastAsia"/>
                <w:lang w:val="en-US" w:eastAsia="zh-CN"/>
              </w:rPr>
              <w:t>3</w:t>
            </w:r>
          </w:p>
        </w:tc>
        <w:tc>
          <w:tcPr>
            <w:tcW w:w="1076" w:type="dxa"/>
            <w:vMerge w:val="continue"/>
            <w:tcBorders/>
            <w:vAlign w:val="top"/>
          </w:tcPr>
          <w:p>
            <w:pPr>
              <w:pStyle w:val="7"/>
              <w:spacing w:before="62" w:line="230" w:lineRule="auto"/>
              <w:ind w:left="273"/>
              <w:rPr>
                <w:spacing w:val="7"/>
              </w:rPr>
            </w:pPr>
          </w:p>
        </w:tc>
        <w:tc>
          <w:tcPr>
            <w:tcW w:w="5194" w:type="dxa"/>
            <w:tcBorders>
              <w:top w:val="single" w:color="auto" w:sz="4" w:space="0"/>
              <w:bottom w:val="single" w:color="auto" w:sz="4" w:space="0"/>
            </w:tcBorders>
            <w:vAlign w:val="top"/>
          </w:tcPr>
          <w:p>
            <w:pPr>
              <w:pStyle w:val="7"/>
              <w:spacing w:before="173" w:line="228" w:lineRule="auto"/>
              <w:ind w:left="58"/>
              <w:rPr>
                <w:spacing w:val="10"/>
              </w:rPr>
            </w:pPr>
            <w:r>
              <w:rPr>
                <w:spacing w:val="9"/>
              </w:rPr>
              <w:t>对本级预算执行情况、决算草案以及其他财政收支情况进行审计监督。</w:t>
            </w:r>
          </w:p>
        </w:tc>
        <w:tc>
          <w:tcPr>
            <w:tcW w:w="7645" w:type="dxa"/>
            <w:vMerge w:val="continue"/>
            <w:vAlign w:val="top"/>
          </w:tcPr>
          <w:p>
            <w:pPr>
              <w:pStyle w:val="7"/>
              <w:spacing w:before="38" w:line="237" w:lineRule="auto"/>
              <w:ind w:left="78" w:right="90" w:hanging="40"/>
              <w:rPr>
                <w:spacing w:val="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638" w:type="dxa"/>
            <w:tcBorders>
              <w:top w:val="single" w:color="auto" w:sz="4" w:space="0"/>
              <w:bottom w:val="single" w:color="auto" w:sz="4" w:space="0"/>
            </w:tcBorders>
            <w:vAlign w:val="top"/>
          </w:tcPr>
          <w:p>
            <w:pPr>
              <w:pStyle w:val="7"/>
              <w:spacing w:before="62" w:line="257" w:lineRule="exact"/>
              <w:ind w:left="231"/>
              <w:rPr>
                <w:rFonts w:hint="eastAsia" w:eastAsia="宋体"/>
                <w:lang w:val="en-US" w:eastAsia="zh-CN"/>
              </w:rPr>
            </w:pPr>
            <w:r>
              <w:rPr>
                <w:rFonts w:hint="eastAsia"/>
                <w:lang w:val="en-US" w:eastAsia="zh-CN"/>
              </w:rPr>
              <w:t>4</w:t>
            </w:r>
          </w:p>
        </w:tc>
        <w:tc>
          <w:tcPr>
            <w:tcW w:w="1076" w:type="dxa"/>
            <w:vMerge w:val="continue"/>
            <w:tcBorders/>
            <w:vAlign w:val="top"/>
          </w:tcPr>
          <w:p>
            <w:pPr>
              <w:pStyle w:val="7"/>
              <w:spacing w:before="62" w:line="230" w:lineRule="auto"/>
              <w:ind w:left="273"/>
              <w:rPr>
                <w:spacing w:val="7"/>
              </w:rPr>
            </w:pPr>
          </w:p>
        </w:tc>
        <w:tc>
          <w:tcPr>
            <w:tcW w:w="5194" w:type="dxa"/>
            <w:tcBorders>
              <w:top w:val="single" w:color="auto" w:sz="4" w:space="0"/>
              <w:bottom w:val="single" w:color="auto" w:sz="4" w:space="0"/>
            </w:tcBorders>
            <w:vAlign w:val="top"/>
          </w:tcPr>
          <w:p>
            <w:pPr>
              <w:pStyle w:val="7"/>
              <w:spacing w:before="79" w:line="228" w:lineRule="auto"/>
              <w:ind w:left="61" w:right="78" w:hanging="3"/>
              <w:jc w:val="both"/>
              <w:rPr>
                <w:spacing w:val="10"/>
              </w:rPr>
            </w:pPr>
            <w:r>
              <w:rPr>
                <w:spacing w:val="10"/>
              </w:rPr>
              <w:t>对政府投资和以政府投资为主的建设项目的预算执行情况和决算，对其他关系</w:t>
            </w:r>
            <w:r>
              <w:rPr>
                <w:spacing w:val="9"/>
              </w:rPr>
              <w:t xml:space="preserve"> </w:t>
            </w:r>
            <w:r>
              <w:rPr>
                <w:spacing w:val="10"/>
              </w:rPr>
              <w:t>国家利益和公共利益的重大公共工程项目的资金管理使用和建设运营情况，进</w:t>
            </w:r>
            <w:r>
              <w:rPr>
                <w:spacing w:val="6"/>
              </w:rPr>
              <w:t>行审计监督。</w:t>
            </w:r>
          </w:p>
        </w:tc>
        <w:tc>
          <w:tcPr>
            <w:tcW w:w="7645" w:type="dxa"/>
            <w:vMerge w:val="continue"/>
            <w:vAlign w:val="top"/>
          </w:tcPr>
          <w:p>
            <w:pPr>
              <w:pStyle w:val="7"/>
              <w:spacing w:before="38" w:line="237" w:lineRule="auto"/>
              <w:ind w:left="78" w:right="90" w:hanging="40"/>
              <w:rPr>
                <w:spacing w:val="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638" w:type="dxa"/>
            <w:tcBorders>
              <w:top w:val="single" w:color="auto" w:sz="4" w:space="0"/>
              <w:bottom w:val="single" w:color="auto" w:sz="4" w:space="0"/>
            </w:tcBorders>
            <w:vAlign w:val="top"/>
          </w:tcPr>
          <w:p>
            <w:pPr>
              <w:pStyle w:val="7"/>
              <w:spacing w:before="62" w:line="257" w:lineRule="exact"/>
              <w:ind w:left="231"/>
              <w:rPr>
                <w:rFonts w:hint="eastAsia" w:eastAsia="宋体"/>
                <w:lang w:val="en-US" w:eastAsia="zh-CN"/>
              </w:rPr>
            </w:pPr>
            <w:r>
              <w:rPr>
                <w:rFonts w:hint="eastAsia"/>
                <w:lang w:val="en-US" w:eastAsia="zh-CN"/>
              </w:rPr>
              <w:t>5</w:t>
            </w:r>
          </w:p>
        </w:tc>
        <w:tc>
          <w:tcPr>
            <w:tcW w:w="1076" w:type="dxa"/>
            <w:vMerge w:val="continue"/>
            <w:tcBorders>
              <w:bottom w:val="single" w:color="auto" w:sz="4" w:space="0"/>
            </w:tcBorders>
            <w:vAlign w:val="top"/>
          </w:tcPr>
          <w:p>
            <w:pPr>
              <w:pStyle w:val="7"/>
              <w:spacing w:before="62" w:line="230" w:lineRule="auto"/>
              <w:ind w:left="273"/>
              <w:rPr>
                <w:spacing w:val="7"/>
              </w:rPr>
            </w:pPr>
          </w:p>
        </w:tc>
        <w:tc>
          <w:tcPr>
            <w:tcW w:w="5194" w:type="dxa"/>
            <w:tcBorders>
              <w:top w:val="single" w:color="auto" w:sz="4" w:space="0"/>
              <w:bottom w:val="single" w:color="auto" w:sz="4" w:space="0"/>
            </w:tcBorders>
            <w:vAlign w:val="top"/>
          </w:tcPr>
          <w:p>
            <w:pPr>
              <w:pStyle w:val="7"/>
              <w:spacing w:before="126" w:line="227" w:lineRule="auto"/>
              <w:ind w:right="104"/>
              <w:rPr>
                <w:spacing w:val="10"/>
              </w:rPr>
            </w:pPr>
            <w:r>
              <w:rPr>
                <w:spacing w:val="10"/>
              </w:rPr>
              <w:t>对与国家财政收支有关的特定事项，向有关地方、部门</w:t>
            </w:r>
            <w:r>
              <w:rPr>
                <w:rFonts w:hint="eastAsia"/>
                <w:spacing w:val="10"/>
                <w:lang w:eastAsia="zh-CN"/>
              </w:rPr>
              <w:t>、</w:t>
            </w:r>
            <w:r>
              <w:rPr>
                <w:spacing w:val="9"/>
              </w:rPr>
              <w:t>单位进行专项审计调</w:t>
            </w:r>
            <w:r>
              <w:rPr>
                <w:spacing w:val="-1"/>
              </w:rPr>
              <w:t>查。</w:t>
            </w:r>
            <w:bookmarkStart w:id="0" w:name="_GoBack"/>
            <w:bookmarkEnd w:id="0"/>
          </w:p>
        </w:tc>
        <w:tc>
          <w:tcPr>
            <w:tcW w:w="7645" w:type="dxa"/>
            <w:vMerge w:val="continue"/>
            <w:tcBorders>
              <w:bottom w:val="single" w:color="auto" w:sz="4" w:space="0"/>
            </w:tcBorders>
            <w:vAlign w:val="top"/>
          </w:tcPr>
          <w:p>
            <w:pPr>
              <w:pStyle w:val="7"/>
              <w:spacing w:before="38" w:line="237" w:lineRule="auto"/>
              <w:ind w:left="78" w:right="90" w:hanging="40"/>
              <w:rPr>
                <w:spacing w:val="8"/>
              </w:rPr>
            </w:pPr>
          </w:p>
        </w:tc>
      </w:tr>
    </w:tbl>
    <w:tbl>
      <w:tblPr>
        <w:tblStyle w:val="6"/>
        <w:tblpPr w:leftFromText="180" w:rightFromText="180" w:vertAnchor="text" w:horzAnchor="page" w:tblpX="1117" w:tblpY="263"/>
        <w:tblOverlap w:val="never"/>
        <w:tblW w:w="145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4563" w:type="dxa"/>
            <w:vAlign w:val="top"/>
          </w:tcPr>
          <w:p>
            <w:pPr>
              <w:pStyle w:val="7"/>
              <w:spacing w:before="219" w:line="228" w:lineRule="auto"/>
              <w:ind w:left="30"/>
            </w:pPr>
            <w:r>
              <w:rPr>
                <w:spacing w:val="10"/>
              </w:rPr>
              <w:t>备注：本目录中依据《中华人民共和国审计法实施条例》对应引用《中华人民共和国审计法》相关条款，以新</w:t>
            </w:r>
            <w:r>
              <w:rPr>
                <w:spacing w:val="9"/>
              </w:rPr>
              <w:t>修订《中华人民共和国审计法》的相关条款和内容为准</w:t>
            </w:r>
          </w:p>
        </w:tc>
      </w:tr>
    </w:tbl>
    <w:p>
      <w:pPr>
        <w:rPr>
          <w:rFonts w:ascii="Arial" w:hAnsi="Arial" w:eastAsia="Arial" w:cs="Arial"/>
          <w:sz w:val="21"/>
          <w:szCs w:val="21"/>
        </w:rPr>
        <w:sectPr>
          <w:pgSz w:w="16830" w:h="11910"/>
          <w:pgMar w:top="1012" w:right="1206" w:bottom="0" w:left="1065" w:header="0" w:footer="0" w:gutter="0"/>
          <w:cols w:space="720" w:num="1"/>
        </w:sectPr>
      </w:pPr>
    </w:p>
    <w:p>
      <w:pPr>
        <w:spacing w:line="308" w:lineRule="auto"/>
        <w:rPr>
          <w:rFonts w:ascii="Arial"/>
          <w:sz w:val="21"/>
        </w:rPr>
      </w:pPr>
    </w:p>
    <w:p>
      <w:pPr>
        <w:spacing w:line="308" w:lineRule="auto"/>
        <w:rPr>
          <w:rFonts w:ascii="Arial"/>
          <w:sz w:val="21"/>
        </w:rPr>
      </w:pPr>
    </w:p>
    <w:p>
      <w:pPr>
        <w:spacing w:before="114" w:line="226" w:lineRule="auto"/>
        <w:ind w:left="5545"/>
        <w:rPr>
          <w:rFonts w:ascii="宋体" w:hAnsi="宋体" w:eastAsia="宋体" w:cs="宋体"/>
          <w:sz w:val="35"/>
          <w:szCs w:val="35"/>
        </w:rPr>
      </w:pPr>
      <w:r>
        <w:rPr>
          <w:rFonts w:ascii="宋体" w:hAnsi="宋体" w:eastAsia="宋体" w:cs="宋体"/>
          <w:spacing w:val="6"/>
          <w:sz w:val="35"/>
          <w:szCs w:val="35"/>
        </w:rPr>
        <w:t>不予或者免予处罚清单</w:t>
      </w:r>
    </w:p>
    <w:p>
      <w:pPr>
        <w:spacing w:line="118" w:lineRule="exact"/>
      </w:pPr>
    </w:p>
    <w:tbl>
      <w:tblPr>
        <w:tblStyle w:val="6"/>
        <w:tblW w:w="14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1856"/>
        <w:gridCol w:w="4556"/>
        <w:gridCol w:w="76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599" w:type="dxa"/>
            <w:vAlign w:val="top"/>
          </w:tcPr>
          <w:p>
            <w:pPr>
              <w:pStyle w:val="7"/>
              <w:spacing w:before="280" w:line="230" w:lineRule="auto"/>
              <w:ind w:left="228"/>
            </w:pPr>
            <w:r>
              <w:rPr>
                <w:b/>
                <w:bCs/>
                <w:spacing w:val="2"/>
              </w:rPr>
              <w:t>序号</w:t>
            </w:r>
          </w:p>
        </w:tc>
        <w:tc>
          <w:tcPr>
            <w:tcW w:w="1856" w:type="dxa"/>
            <w:vAlign w:val="top"/>
          </w:tcPr>
          <w:p>
            <w:pPr>
              <w:pStyle w:val="7"/>
              <w:spacing w:before="262" w:line="229" w:lineRule="auto"/>
              <w:rPr>
                <w:sz w:val="24"/>
                <w:szCs w:val="24"/>
              </w:rPr>
            </w:pPr>
            <w:r>
              <w:rPr>
                <w:b/>
                <w:bCs/>
                <w:spacing w:val="1"/>
                <w:sz w:val="24"/>
                <w:szCs w:val="24"/>
              </w:rPr>
              <w:t>违法行为</w:t>
            </w:r>
          </w:p>
        </w:tc>
        <w:tc>
          <w:tcPr>
            <w:tcW w:w="4556" w:type="dxa"/>
            <w:vAlign w:val="top"/>
          </w:tcPr>
          <w:p>
            <w:pPr>
              <w:pStyle w:val="7"/>
              <w:spacing w:before="262" w:line="229" w:lineRule="auto"/>
              <w:ind w:left="234"/>
              <w:rPr>
                <w:sz w:val="24"/>
                <w:szCs w:val="24"/>
              </w:rPr>
            </w:pPr>
            <w:r>
              <w:rPr>
                <w:b/>
                <w:bCs/>
                <w:spacing w:val="3"/>
                <w:sz w:val="24"/>
                <w:szCs w:val="24"/>
              </w:rPr>
              <w:t>不予或者免予处罚的情形</w:t>
            </w:r>
          </w:p>
        </w:tc>
        <w:tc>
          <w:tcPr>
            <w:tcW w:w="7613" w:type="dxa"/>
            <w:vAlign w:val="top"/>
          </w:tcPr>
          <w:p>
            <w:pPr>
              <w:pStyle w:val="7"/>
              <w:spacing w:before="260" w:line="227" w:lineRule="auto"/>
              <w:ind w:left="2183"/>
              <w:rPr>
                <w:sz w:val="24"/>
                <w:szCs w:val="24"/>
              </w:rPr>
            </w:pPr>
            <w:r>
              <w:rPr>
                <w:b/>
                <w:bCs/>
                <w:spacing w:val="3"/>
                <w:sz w:val="24"/>
                <w:szCs w:val="24"/>
              </w:rPr>
              <w:t>相应法定依据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599" w:type="dxa"/>
            <w:vAlign w:val="top"/>
          </w:tcPr>
          <w:p>
            <w:pPr>
              <w:spacing w:line="258" w:lineRule="auto"/>
              <w:rPr>
                <w:rFonts w:ascii="Arial"/>
                <w:sz w:val="21"/>
              </w:rPr>
            </w:pPr>
          </w:p>
          <w:p>
            <w:pPr>
              <w:spacing w:line="258" w:lineRule="auto"/>
              <w:rPr>
                <w:rFonts w:ascii="Arial"/>
                <w:sz w:val="21"/>
              </w:rPr>
            </w:pPr>
          </w:p>
          <w:p>
            <w:pPr>
              <w:pStyle w:val="7"/>
              <w:spacing w:before="62" w:line="257" w:lineRule="exact"/>
              <w:ind w:left="392"/>
            </w:pPr>
            <w:r>
              <w:rPr>
                <w:position w:val="1"/>
              </w:rPr>
              <w:t>1</w:t>
            </w:r>
          </w:p>
        </w:tc>
        <w:tc>
          <w:tcPr>
            <w:tcW w:w="1856" w:type="dxa"/>
            <w:tcBorders>
              <w:bottom w:val="single" w:color="auto" w:sz="4" w:space="0"/>
            </w:tcBorders>
            <w:vAlign w:val="top"/>
          </w:tcPr>
          <w:p>
            <w:pPr>
              <w:pStyle w:val="7"/>
              <w:spacing w:before="62"/>
              <w:ind w:right="74"/>
              <w:jc w:val="both"/>
            </w:pPr>
            <w:r>
              <w:rPr>
                <w:rFonts w:hint="eastAsia"/>
              </w:rPr>
              <w:t>对企业和个人不缴或者少缴财政收入行为的处罚</w:t>
            </w:r>
          </w:p>
        </w:tc>
        <w:tc>
          <w:tcPr>
            <w:tcW w:w="4556" w:type="dxa"/>
            <w:tcBorders>
              <w:bottom w:val="single" w:color="auto" w:sz="4" w:space="0"/>
            </w:tcBorders>
            <w:vAlign w:val="top"/>
          </w:tcPr>
          <w:p>
            <w:pPr>
              <w:spacing w:line="283" w:lineRule="auto"/>
            </w:pPr>
            <w:r>
              <w:rPr>
                <w:rFonts w:hint="eastAsia" w:ascii="Arial"/>
                <w:sz w:val="21"/>
              </w:rPr>
              <w:t>不缴或者少缴财政收入，情节轻微，在检查中能够主动说明情况和提供相关资料，并能积极纠正、整改，未造成危害后果，或有证据足以证明其没有主观过错的。</w:t>
            </w:r>
          </w:p>
        </w:tc>
        <w:tc>
          <w:tcPr>
            <w:tcW w:w="7613" w:type="dxa"/>
            <w:tcBorders>
              <w:bottom w:val="single" w:color="auto" w:sz="4" w:space="0"/>
            </w:tcBorders>
            <w:vAlign w:val="top"/>
          </w:tcPr>
          <w:p>
            <w:pPr>
              <w:pStyle w:val="7"/>
              <w:spacing w:before="28" w:line="229" w:lineRule="auto"/>
              <w:ind w:left="21"/>
            </w:pPr>
            <w:r>
              <w:rPr>
                <w:rFonts w:hint="eastAsia"/>
              </w:rPr>
              <w:t>《财政违法行为处罚处分条例》第十三条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一）隐瞒应当上缴的财政收入；（二）截留代收的财政收入；（三）其他不缴或者少缴财政收入的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599" w:type="dxa"/>
            <w:vAlign w:val="top"/>
          </w:tcPr>
          <w:p>
            <w:pPr>
              <w:spacing w:line="244" w:lineRule="auto"/>
              <w:rPr>
                <w:rFonts w:ascii="Arial"/>
                <w:sz w:val="21"/>
              </w:rPr>
            </w:pPr>
          </w:p>
          <w:p>
            <w:pPr>
              <w:spacing w:line="245" w:lineRule="auto"/>
              <w:rPr>
                <w:rFonts w:ascii="Arial"/>
                <w:sz w:val="21"/>
              </w:rPr>
            </w:pPr>
          </w:p>
          <w:p>
            <w:pPr>
              <w:pStyle w:val="7"/>
              <w:spacing w:before="61" w:line="258" w:lineRule="exact"/>
              <w:ind w:left="380"/>
            </w:pPr>
            <w:r>
              <w:rPr>
                <w:position w:val="1"/>
              </w:rPr>
              <w:t>2</w:t>
            </w:r>
          </w:p>
        </w:tc>
        <w:tc>
          <w:tcPr>
            <w:tcW w:w="1856" w:type="dxa"/>
            <w:tcBorders>
              <w:top w:val="single" w:color="auto" w:sz="4" w:space="0"/>
            </w:tcBorders>
            <w:vAlign w:val="top"/>
          </w:tcPr>
          <w:p>
            <w:pPr>
              <w:spacing w:line="469" w:lineRule="auto"/>
              <w:rPr>
                <w:rFonts w:ascii="Arial"/>
                <w:sz w:val="21"/>
              </w:rPr>
            </w:pPr>
          </w:p>
          <w:p>
            <w:pPr>
              <w:pStyle w:val="7"/>
              <w:spacing w:before="62" w:line="229" w:lineRule="auto"/>
              <w:ind w:left="28"/>
            </w:pPr>
            <w:r>
              <w:rPr>
                <w:rFonts w:hint="eastAsia"/>
              </w:rPr>
              <w:t>对企业和个人违反规定使用、骗取财政资金以及政府承贷或者担保的外国政府贷款、国际金融组织贷款行为的处罚</w:t>
            </w:r>
          </w:p>
        </w:tc>
        <w:tc>
          <w:tcPr>
            <w:tcW w:w="4556" w:type="dxa"/>
            <w:tcBorders>
              <w:top w:val="single" w:color="auto" w:sz="4" w:space="0"/>
              <w:bottom w:val="single" w:color="auto" w:sz="4" w:space="0"/>
            </w:tcBorders>
            <w:vAlign w:val="top"/>
          </w:tcPr>
          <w:p>
            <w:pPr>
              <w:rPr>
                <w:rFonts w:ascii="Arial"/>
                <w:sz w:val="21"/>
              </w:rPr>
            </w:pPr>
            <w:r>
              <w:rPr>
                <w:rFonts w:hint="eastAsia" w:ascii="Arial"/>
                <w:sz w:val="21"/>
              </w:rPr>
              <w:t>骗取财政资金以及政府承贷或者担保的外国政府贷款、国际金融组织贷款，或挪用财政资金以及政府承贷或者担保的外国政府贷款、国际金融组织贷款，或从财政资金以及政府承贷或者担保的外国政府贷款、国际金融组织贷款中非法获益的，情节轻微，在检查中能够主动说明情况和提供相关资料，并能积极纠正、整改，未造成危害后果，或有证据足以证明其没有主观过错的。</w:t>
            </w:r>
          </w:p>
        </w:tc>
        <w:tc>
          <w:tcPr>
            <w:tcW w:w="7613" w:type="dxa"/>
            <w:tcBorders>
              <w:top w:val="single" w:color="auto" w:sz="4" w:space="0"/>
              <w:bottom w:val="single" w:color="auto" w:sz="4" w:space="0"/>
            </w:tcBorders>
            <w:vAlign w:val="top"/>
          </w:tcPr>
          <w:p>
            <w:pPr>
              <w:pStyle w:val="7"/>
              <w:spacing w:before="45" w:line="228" w:lineRule="auto"/>
              <w:ind w:left="119"/>
            </w:pPr>
            <w:r>
              <w:rPr>
                <w:rFonts w:hint="eastAsia"/>
              </w:rPr>
              <w:t>《财政违法行为处罚处分条例》第十四条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599" w:type="dxa"/>
            <w:vAlign w:val="top"/>
          </w:tcPr>
          <w:p>
            <w:pPr>
              <w:spacing w:line="354" w:lineRule="auto"/>
              <w:rPr>
                <w:rFonts w:ascii="Arial"/>
                <w:sz w:val="21"/>
              </w:rPr>
            </w:pPr>
          </w:p>
          <w:p>
            <w:pPr>
              <w:pStyle w:val="7"/>
              <w:spacing w:before="61" w:line="257" w:lineRule="exact"/>
              <w:ind w:left="382"/>
            </w:pPr>
            <w:r>
              <w:rPr>
                <w:position w:val="1"/>
              </w:rPr>
              <w:t>3</w:t>
            </w:r>
          </w:p>
        </w:tc>
        <w:tc>
          <w:tcPr>
            <w:tcW w:w="1856" w:type="dxa"/>
            <w:vAlign w:val="top"/>
          </w:tcPr>
          <w:p>
            <w:pPr>
              <w:pStyle w:val="7"/>
              <w:spacing w:before="302"/>
              <w:ind w:left="31" w:right="89"/>
            </w:pPr>
            <w:r>
              <w:rPr>
                <w:rFonts w:hint="eastAsia"/>
              </w:rPr>
              <w:t>对企业和个人不缴或者少缴财政收入行为的处罚</w:t>
            </w:r>
          </w:p>
        </w:tc>
        <w:tc>
          <w:tcPr>
            <w:tcW w:w="4556" w:type="dxa"/>
            <w:tcBorders>
              <w:top w:val="single" w:color="auto" w:sz="4" w:space="0"/>
              <w:bottom w:val="single" w:color="auto" w:sz="4" w:space="0"/>
            </w:tcBorders>
            <w:vAlign w:val="top"/>
          </w:tcPr>
          <w:p>
            <w:pPr>
              <w:rPr>
                <w:rFonts w:ascii="Arial"/>
                <w:sz w:val="21"/>
              </w:rPr>
            </w:pPr>
            <w:r>
              <w:rPr>
                <w:rFonts w:hint="eastAsia" w:ascii="Arial"/>
                <w:sz w:val="21"/>
              </w:rPr>
              <w:t>不缴或者少缴财政收入，初次违法，在检查中能够主动说明情况和提供相关资料，并能积极纠正、整改，且危害后果轻微的。</w:t>
            </w:r>
          </w:p>
        </w:tc>
        <w:tc>
          <w:tcPr>
            <w:tcW w:w="7613" w:type="dxa"/>
            <w:tcBorders>
              <w:top w:val="single" w:color="auto" w:sz="4" w:space="0"/>
              <w:bottom w:val="single" w:color="auto" w:sz="4" w:space="0"/>
            </w:tcBorders>
            <w:vAlign w:val="top"/>
          </w:tcPr>
          <w:p>
            <w:pPr>
              <w:pStyle w:val="7"/>
              <w:tabs>
                <w:tab w:val="left" w:pos="980"/>
              </w:tabs>
              <w:spacing w:before="35" w:line="228" w:lineRule="auto"/>
              <w:rPr>
                <w:rFonts w:hint="eastAsia" w:eastAsia="宋体"/>
                <w:lang w:eastAsia="zh-CN"/>
              </w:rPr>
            </w:pPr>
            <w:r>
              <w:rPr>
                <w:rFonts w:hint="eastAsia"/>
                <w:lang w:eastAsia="zh-CN"/>
              </w:rPr>
              <w:t>《财政违法行为处罚处分条例》第十三条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一）隐瞒应当上缴的财政收入；（二）截留代收的财政收入；（三）其他不缴或者少缴财政收入的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599" w:type="dxa"/>
            <w:vAlign w:val="top"/>
          </w:tcPr>
          <w:p>
            <w:pPr>
              <w:spacing w:line="331" w:lineRule="auto"/>
              <w:rPr>
                <w:rFonts w:ascii="Arial"/>
                <w:sz w:val="21"/>
              </w:rPr>
            </w:pPr>
          </w:p>
          <w:p>
            <w:pPr>
              <w:pStyle w:val="7"/>
              <w:spacing w:before="62" w:line="256" w:lineRule="exact"/>
              <w:ind w:left="379"/>
              <w:rPr>
                <w:rFonts w:hint="eastAsia" w:eastAsia="宋体"/>
                <w:lang w:eastAsia="zh-CN"/>
              </w:rPr>
            </w:pPr>
            <w:r>
              <w:rPr>
                <w:rFonts w:hint="eastAsia"/>
                <w:position w:val="1"/>
                <w:lang w:val="en-US" w:eastAsia="zh-CN"/>
              </w:rPr>
              <w:t>4</w:t>
            </w:r>
          </w:p>
        </w:tc>
        <w:tc>
          <w:tcPr>
            <w:tcW w:w="1856" w:type="dxa"/>
            <w:vAlign w:val="top"/>
          </w:tcPr>
          <w:p>
            <w:pPr>
              <w:pStyle w:val="7"/>
              <w:spacing w:before="253" w:line="242" w:lineRule="auto"/>
              <w:ind w:left="30" w:right="103" w:firstLine="9"/>
            </w:pPr>
            <w:r>
              <w:rPr>
                <w:rFonts w:hint="eastAsia"/>
              </w:rPr>
              <w:t>对企业和个人违反规定使用、骗取财政资金以及政府承贷或者担保的外国政府贷款、国际金融组织贷款行为的处罚</w:t>
            </w:r>
          </w:p>
        </w:tc>
        <w:tc>
          <w:tcPr>
            <w:tcW w:w="4556" w:type="dxa"/>
            <w:tcBorders>
              <w:top w:val="single" w:color="auto" w:sz="4" w:space="0"/>
            </w:tcBorders>
            <w:vAlign w:val="top"/>
          </w:tcPr>
          <w:p>
            <w:pPr>
              <w:rPr>
                <w:rFonts w:ascii="Arial"/>
                <w:sz w:val="21"/>
              </w:rPr>
            </w:pPr>
            <w:r>
              <w:rPr>
                <w:rFonts w:hint="eastAsia" w:ascii="Arial"/>
                <w:sz w:val="21"/>
              </w:rPr>
              <w:t>骗取财政资金以及政府承贷或者担保的外国政府贷款、国际金融组织贷款，或挪用财政资金以及政府承贷或者担保的外国政府贷款、国际金融组织贷款，或从财政资金以及政府承贷或者担保的外国政府贷款、国际金融组织贷款中非法获益的，情节轻微，在检查中能够主动说明情况和提供相关资料，并能积极纠正、整改，且危害后果轻微的。</w:t>
            </w:r>
          </w:p>
        </w:tc>
        <w:tc>
          <w:tcPr>
            <w:tcW w:w="7613" w:type="dxa"/>
            <w:tcBorders>
              <w:top w:val="single" w:color="auto" w:sz="4" w:space="0"/>
            </w:tcBorders>
            <w:vAlign w:val="top"/>
          </w:tcPr>
          <w:p>
            <w:pPr>
              <w:pStyle w:val="7"/>
              <w:spacing w:before="33" w:line="228" w:lineRule="auto"/>
              <w:ind w:left="59"/>
            </w:pPr>
            <w:r>
              <w:rPr>
                <w:rFonts w:hint="eastAsia"/>
              </w:rPr>
              <w:t xml:space="preserve"> 《财政违法行为处罚处分条例》第十四条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p>
        </w:tc>
      </w:tr>
    </w:tbl>
    <w:p>
      <w:pPr>
        <w:spacing w:before="209" w:line="239" w:lineRule="auto"/>
        <w:ind w:left="13" w:right="22" w:firstLine="28"/>
        <w:rPr>
          <w:rFonts w:ascii="宋体" w:hAnsi="宋体" w:eastAsia="宋体" w:cs="宋体"/>
          <w:sz w:val="19"/>
          <w:szCs w:val="19"/>
        </w:rPr>
      </w:pPr>
      <w:r>
        <w:rPr>
          <w:rFonts w:ascii="宋体" w:hAnsi="宋体" w:eastAsia="宋体" w:cs="宋体"/>
          <w:spacing w:val="10"/>
          <w:sz w:val="19"/>
          <w:szCs w:val="19"/>
        </w:rPr>
        <w:t>备注：本清单中依据《中华人民共和国审计法实施条例》对应引用《中华人民共和</w:t>
      </w:r>
      <w:r>
        <w:rPr>
          <w:rFonts w:ascii="宋体" w:hAnsi="宋体" w:eastAsia="宋体" w:cs="宋体"/>
          <w:spacing w:val="9"/>
          <w:sz w:val="19"/>
          <w:szCs w:val="19"/>
        </w:rPr>
        <w:t>国审计法》相关条款，以新修订《中华人民共和国审计法》的相关条款和内容为准。</w:t>
      </w:r>
      <w:r>
        <w:rPr>
          <w:rFonts w:ascii="宋体" w:hAnsi="宋体" w:eastAsia="宋体" w:cs="宋体"/>
          <w:sz w:val="19"/>
          <w:szCs w:val="19"/>
        </w:rPr>
        <w:t xml:space="preserve"> </w:t>
      </w:r>
      <w:r>
        <w:rPr>
          <w:rFonts w:ascii="宋体" w:hAnsi="宋体" w:eastAsia="宋体" w:cs="宋体"/>
          <w:spacing w:val="15"/>
          <w:sz w:val="19"/>
          <w:szCs w:val="19"/>
        </w:rPr>
        <w:t>《中华人民共和国行政处罚法》</w:t>
      </w:r>
      <w:r>
        <w:rPr>
          <w:rFonts w:ascii="宋体" w:hAnsi="宋体" w:eastAsia="宋体" w:cs="宋体"/>
          <w:spacing w:val="-26"/>
          <w:sz w:val="19"/>
          <w:szCs w:val="19"/>
        </w:rPr>
        <w:t xml:space="preserve"> </w:t>
      </w:r>
      <w:r>
        <w:rPr>
          <w:rFonts w:ascii="宋体" w:hAnsi="宋体" w:eastAsia="宋体" w:cs="宋体"/>
          <w:spacing w:val="15"/>
          <w:sz w:val="19"/>
          <w:szCs w:val="19"/>
        </w:rPr>
        <w:t>(1996年3月17日第八届全国人民代表大会</w:t>
      </w:r>
      <w:r>
        <w:rPr>
          <w:rFonts w:ascii="宋体" w:hAnsi="宋体" w:eastAsia="宋体" w:cs="宋体"/>
          <w:spacing w:val="14"/>
          <w:sz w:val="19"/>
          <w:szCs w:val="19"/>
        </w:rPr>
        <w:t>第四次会议通过2021年1月22日第十三届全国人民代表大会常务委员会第二十五次会议修</w:t>
      </w:r>
      <w:r>
        <w:rPr>
          <w:rFonts w:ascii="宋体" w:hAnsi="宋体" w:eastAsia="宋体" w:cs="宋体"/>
          <w:sz w:val="19"/>
          <w:szCs w:val="19"/>
        </w:rPr>
        <w:t xml:space="preserve"> </w:t>
      </w:r>
      <w:r>
        <w:rPr>
          <w:rFonts w:ascii="宋体" w:hAnsi="宋体" w:eastAsia="宋体" w:cs="宋体"/>
          <w:color w:val="auto"/>
          <w:spacing w:val="5"/>
          <w:sz w:val="19"/>
          <w:szCs w:val="19"/>
        </w:rPr>
        <w:t>订)</w:t>
      </w:r>
      <w:r>
        <w:rPr>
          <w:rFonts w:ascii="宋体" w:hAnsi="宋体" w:eastAsia="宋体" w:cs="宋体"/>
          <w:color w:val="auto"/>
          <w:spacing w:val="-33"/>
          <w:sz w:val="19"/>
          <w:szCs w:val="19"/>
        </w:rPr>
        <w:t xml:space="preserve"> </w:t>
      </w:r>
      <w:r>
        <w:rPr>
          <w:rFonts w:ascii="宋体" w:hAnsi="宋体" w:eastAsia="宋体" w:cs="宋体"/>
          <w:color w:val="auto"/>
          <w:spacing w:val="5"/>
          <w:sz w:val="19"/>
          <w:szCs w:val="19"/>
        </w:rPr>
        <w:t>。</w:t>
      </w:r>
    </w:p>
    <w:p>
      <w:pPr>
        <w:spacing w:line="239" w:lineRule="auto"/>
        <w:rPr>
          <w:rFonts w:ascii="宋体" w:hAnsi="宋体" w:eastAsia="宋体" w:cs="宋体"/>
          <w:sz w:val="19"/>
          <w:szCs w:val="19"/>
        </w:rPr>
        <w:sectPr>
          <w:pgSz w:w="16830" w:h="11910"/>
          <w:pgMar w:top="1012" w:right="1126" w:bottom="0" w:left="1074" w:header="0" w:footer="0" w:gutter="0"/>
          <w:cols w:space="720" w:num="1"/>
        </w:sectPr>
      </w:pPr>
    </w:p>
    <w:p>
      <w:pPr>
        <w:spacing w:line="307" w:lineRule="auto"/>
        <w:rPr>
          <w:rFonts w:ascii="Arial"/>
          <w:sz w:val="21"/>
        </w:rPr>
      </w:pPr>
    </w:p>
    <w:p>
      <w:pPr>
        <w:spacing w:line="307" w:lineRule="auto"/>
        <w:rPr>
          <w:rFonts w:ascii="Arial"/>
          <w:sz w:val="21"/>
        </w:rPr>
      </w:pPr>
    </w:p>
    <w:p>
      <w:pPr>
        <w:pStyle w:val="2"/>
        <w:spacing w:before="114" w:line="225" w:lineRule="auto"/>
        <w:ind w:left="5552"/>
        <w:rPr>
          <w:sz w:val="35"/>
          <w:szCs w:val="35"/>
        </w:rPr>
      </w:pPr>
      <w:r>
        <w:rPr>
          <w:spacing w:val="6"/>
          <w:sz w:val="35"/>
          <w:szCs w:val="35"/>
        </w:rPr>
        <w:t>从轻或者减轻处罚清单</w:t>
      </w:r>
    </w:p>
    <w:p>
      <w:pPr>
        <w:spacing w:line="121" w:lineRule="exact"/>
      </w:pPr>
    </w:p>
    <w:tbl>
      <w:tblPr>
        <w:tblStyle w:val="6"/>
        <w:tblW w:w="146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4645"/>
        <w:gridCol w:w="3117"/>
        <w:gridCol w:w="59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878" w:type="dxa"/>
            <w:vAlign w:val="top"/>
          </w:tcPr>
          <w:p>
            <w:pPr>
              <w:pStyle w:val="7"/>
              <w:spacing w:before="280" w:line="230" w:lineRule="auto"/>
              <w:ind w:left="238"/>
            </w:pPr>
            <w:r>
              <w:rPr>
                <w:b/>
                <w:bCs/>
                <w:spacing w:val="2"/>
              </w:rPr>
              <w:t>序号</w:t>
            </w:r>
          </w:p>
        </w:tc>
        <w:tc>
          <w:tcPr>
            <w:tcW w:w="4645" w:type="dxa"/>
            <w:vAlign w:val="top"/>
          </w:tcPr>
          <w:p>
            <w:pPr>
              <w:pStyle w:val="7"/>
              <w:spacing w:before="262" w:line="229" w:lineRule="auto"/>
              <w:ind w:left="1845"/>
              <w:rPr>
                <w:sz w:val="24"/>
                <w:szCs w:val="24"/>
              </w:rPr>
            </w:pPr>
            <w:r>
              <w:rPr>
                <w:b/>
                <w:bCs/>
                <w:spacing w:val="1"/>
                <w:sz w:val="24"/>
                <w:szCs w:val="24"/>
              </w:rPr>
              <w:t>违法行为</w:t>
            </w:r>
          </w:p>
        </w:tc>
        <w:tc>
          <w:tcPr>
            <w:tcW w:w="3117" w:type="dxa"/>
            <w:vAlign w:val="top"/>
          </w:tcPr>
          <w:p>
            <w:pPr>
              <w:pStyle w:val="7"/>
              <w:spacing w:before="259" w:line="228" w:lineRule="auto"/>
              <w:ind w:left="263"/>
              <w:rPr>
                <w:sz w:val="24"/>
                <w:szCs w:val="24"/>
              </w:rPr>
            </w:pPr>
            <w:r>
              <w:rPr>
                <w:b/>
                <w:bCs/>
                <w:spacing w:val="3"/>
                <w:sz w:val="24"/>
                <w:szCs w:val="24"/>
              </w:rPr>
              <w:t>从轻或者减轻处罚的情形</w:t>
            </w:r>
          </w:p>
        </w:tc>
        <w:tc>
          <w:tcPr>
            <w:tcW w:w="5974" w:type="dxa"/>
            <w:vAlign w:val="top"/>
          </w:tcPr>
          <w:p>
            <w:pPr>
              <w:pStyle w:val="7"/>
              <w:spacing w:before="260" w:line="227" w:lineRule="auto"/>
              <w:ind w:left="2291"/>
              <w:rPr>
                <w:sz w:val="24"/>
                <w:szCs w:val="24"/>
              </w:rPr>
            </w:pPr>
            <w:r>
              <w:rPr>
                <w:b/>
                <w:bCs/>
                <w:spacing w:val="3"/>
                <w:sz w:val="24"/>
                <w:szCs w:val="24"/>
              </w:rPr>
              <w:t>相应法定依据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878" w:type="dxa"/>
            <w:vAlign w:val="top"/>
          </w:tcPr>
          <w:p>
            <w:pPr>
              <w:spacing w:line="466" w:lineRule="auto"/>
              <w:rPr>
                <w:rFonts w:ascii="Arial"/>
                <w:sz w:val="21"/>
              </w:rPr>
            </w:pPr>
          </w:p>
          <w:p>
            <w:pPr>
              <w:pStyle w:val="7"/>
              <w:spacing w:before="61" w:line="258" w:lineRule="exact"/>
              <w:ind w:left="403"/>
            </w:pPr>
            <w:r>
              <w:rPr>
                <w:position w:val="1"/>
              </w:rPr>
              <w:t>1</w:t>
            </w:r>
          </w:p>
        </w:tc>
        <w:tc>
          <w:tcPr>
            <w:tcW w:w="4645" w:type="dxa"/>
            <w:tcBorders>
              <w:bottom w:val="single" w:color="auto" w:sz="4" w:space="0"/>
            </w:tcBorders>
            <w:vAlign w:val="top"/>
          </w:tcPr>
          <w:p>
            <w:pPr>
              <w:pStyle w:val="7"/>
              <w:spacing w:before="280" w:line="230" w:lineRule="auto"/>
              <w:ind w:left="28" w:hanging="10"/>
              <w:rPr>
                <w:rFonts w:hint="eastAsia" w:eastAsia="宋体"/>
                <w:lang w:eastAsia="zh-CN"/>
              </w:rPr>
            </w:pPr>
            <w:r>
              <w:rPr>
                <w:rFonts w:hint="eastAsia"/>
                <w:lang w:eastAsia="zh-CN"/>
              </w:rPr>
              <w:t>无</w:t>
            </w:r>
          </w:p>
        </w:tc>
        <w:tc>
          <w:tcPr>
            <w:tcW w:w="3117" w:type="dxa"/>
            <w:tcBorders>
              <w:bottom w:val="single" w:color="auto" w:sz="4"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7"/>
              <w:spacing w:before="32" w:line="238" w:lineRule="auto"/>
              <w:ind w:left="44" w:right="207" w:firstLine="104"/>
            </w:pPr>
          </w:p>
        </w:tc>
        <w:tc>
          <w:tcPr>
            <w:tcW w:w="5974" w:type="dxa"/>
            <w:tcBorders>
              <w:bottom w:val="single" w:color="auto" w:sz="4" w:space="0"/>
            </w:tcBorders>
            <w:vAlign w:val="top"/>
          </w:tcPr>
          <w:p>
            <w:pPr>
              <w:pStyle w:val="7"/>
              <w:spacing w:before="21" w:line="228" w:lineRule="auto"/>
              <w:ind w:left="158"/>
              <w:rPr>
                <w:rFonts w:hint="eastAsia" w:eastAsia="宋体"/>
                <w:lang w:eastAsia="zh-CN"/>
              </w:rPr>
            </w:pPr>
            <w:r>
              <w:rPr>
                <w:rFonts w:hint="eastAsia"/>
                <w:spacing w:val="8"/>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878" w:type="dxa"/>
            <w:vAlign w:val="top"/>
          </w:tcPr>
          <w:p>
            <w:pPr>
              <w:spacing w:line="440" w:lineRule="auto"/>
              <w:rPr>
                <w:rFonts w:ascii="Arial"/>
                <w:sz w:val="21"/>
              </w:rPr>
            </w:pPr>
          </w:p>
          <w:p>
            <w:pPr>
              <w:pStyle w:val="7"/>
              <w:spacing w:before="61" w:line="258" w:lineRule="exact"/>
              <w:ind w:left="390"/>
            </w:pPr>
            <w:r>
              <w:rPr>
                <w:position w:val="1"/>
              </w:rPr>
              <w:t>2</w:t>
            </w:r>
          </w:p>
        </w:tc>
        <w:tc>
          <w:tcPr>
            <w:tcW w:w="4645" w:type="dxa"/>
            <w:tcBorders>
              <w:top w:val="single" w:color="auto" w:sz="4" w:space="0"/>
              <w:bottom w:val="single" w:color="auto" w:sz="4" w:space="0"/>
            </w:tcBorders>
            <w:vAlign w:val="top"/>
          </w:tcPr>
          <w:p>
            <w:pPr>
              <w:spacing w:line="418" w:lineRule="auto"/>
              <w:rPr>
                <w:rFonts w:ascii="Arial"/>
                <w:sz w:val="21"/>
              </w:rPr>
            </w:pPr>
          </w:p>
          <w:p>
            <w:pPr>
              <w:pStyle w:val="7"/>
              <w:spacing w:before="62" w:line="229" w:lineRule="auto"/>
              <w:ind w:left="28"/>
            </w:pPr>
          </w:p>
        </w:tc>
        <w:tc>
          <w:tcPr>
            <w:tcW w:w="3117" w:type="dxa"/>
            <w:tcBorders>
              <w:top w:val="single" w:color="auto" w:sz="4" w:space="0"/>
              <w:bottom w:val="single" w:color="auto" w:sz="4" w:space="0"/>
            </w:tcBorders>
            <w:vAlign w:val="top"/>
          </w:tcPr>
          <w:p>
            <w:pPr>
              <w:rPr>
                <w:rFonts w:ascii="Arial"/>
                <w:sz w:val="21"/>
              </w:rPr>
            </w:pPr>
          </w:p>
        </w:tc>
        <w:tc>
          <w:tcPr>
            <w:tcW w:w="5974" w:type="dxa"/>
            <w:tcBorders>
              <w:top w:val="single" w:color="auto" w:sz="4" w:space="0"/>
            </w:tcBorders>
            <w:vAlign w:val="top"/>
          </w:tcPr>
          <w:p>
            <w:pPr>
              <w:pStyle w:val="7"/>
              <w:spacing w:before="26" w:line="228" w:lineRule="auto"/>
              <w:ind w:left="158"/>
            </w:pPr>
          </w:p>
        </w:tc>
      </w:tr>
    </w:tbl>
    <w:p>
      <w:pPr>
        <w:spacing w:line="357" w:lineRule="auto"/>
        <w:rPr>
          <w:rFonts w:ascii="Arial"/>
          <w:sz w:val="21"/>
        </w:rPr>
      </w:pPr>
    </w:p>
    <w:p>
      <w:pPr>
        <w:pStyle w:val="2"/>
        <w:spacing w:before="65" w:line="228" w:lineRule="auto"/>
        <w:ind w:left="74"/>
        <w:rPr>
          <w:sz w:val="20"/>
          <w:szCs w:val="20"/>
        </w:rPr>
      </w:pPr>
      <w:r>
        <w:rPr>
          <w:spacing w:val="-1"/>
          <w:sz w:val="20"/>
          <w:szCs w:val="20"/>
        </w:rPr>
        <w:t>备注：本清单中依据《中华人民共和国审计法实施条例》对应引用《中华人民共和国审计法》相关条款，以新修订《中华人民共和国审计法》</w:t>
      </w:r>
      <w:r>
        <w:rPr>
          <w:spacing w:val="-2"/>
          <w:sz w:val="20"/>
          <w:szCs w:val="20"/>
        </w:rPr>
        <w:t>的相关条款和内容为准。</w:t>
      </w:r>
    </w:p>
    <w:p>
      <w:pPr>
        <w:spacing w:line="228" w:lineRule="auto"/>
        <w:rPr>
          <w:sz w:val="20"/>
          <w:szCs w:val="20"/>
        </w:rPr>
        <w:sectPr>
          <w:pgSz w:w="16830" w:h="11910"/>
          <w:pgMar w:top="1012" w:right="1156" w:bottom="0" w:left="1054" w:header="0" w:footer="0" w:gutter="0"/>
          <w:cols w:space="720" w:num="1"/>
        </w:sectPr>
      </w:pPr>
    </w:p>
    <w:p>
      <w:pPr>
        <w:spacing w:line="312" w:lineRule="auto"/>
        <w:rPr>
          <w:rFonts w:ascii="Arial"/>
          <w:sz w:val="21"/>
        </w:rPr>
      </w:pPr>
    </w:p>
    <w:p>
      <w:pPr>
        <w:spacing w:line="313" w:lineRule="auto"/>
        <w:rPr>
          <w:rFonts w:ascii="Arial"/>
          <w:sz w:val="21"/>
        </w:rPr>
      </w:pPr>
    </w:p>
    <w:p>
      <w:pPr>
        <w:pStyle w:val="2"/>
        <w:spacing w:before="114" w:line="226" w:lineRule="auto"/>
        <w:ind w:left="6093"/>
        <w:rPr>
          <w:sz w:val="35"/>
          <w:szCs w:val="35"/>
        </w:rPr>
      </w:pPr>
      <w:r>
        <w:rPr>
          <w:spacing w:val="4"/>
          <w:sz w:val="35"/>
          <w:szCs w:val="35"/>
        </w:rPr>
        <w:t>从重处罚清单</w:t>
      </w:r>
    </w:p>
    <w:p>
      <w:pPr>
        <w:spacing w:line="98" w:lineRule="exact"/>
      </w:pPr>
    </w:p>
    <w:tbl>
      <w:tblPr>
        <w:tblStyle w:val="6"/>
        <w:tblW w:w="142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6064"/>
        <w:gridCol w:w="1887"/>
        <w:gridCol w:w="54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58" w:type="dxa"/>
            <w:vAlign w:val="top"/>
          </w:tcPr>
          <w:p>
            <w:pPr>
              <w:pStyle w:val="7"/>
              <w:spacing w:before="290" w:line="230" w:lineRule="auto"/>
              <w:ind w:left="227"/>
            </w:pPr>
            <w:r>
              <w:rPr>
                <w:b/>
                <w:bCs/>
                <w:spacing w:val="2"/>
              </w:rPr>
              <w:t>序号</w:t>
            </w:r>
          </w:p>
        </w:tc>
        <w:tc>
          <w:tcPr>
            <w:tcW w:w="6064" w:type="dxa"/>
            <w:vAlign w:val="top"/>
          </w:tcPr>
          <w:p>
            <w:pPr>
              <w:pStyle w:val="7"/>
              <w:spacing w:before="272" w:line="229" w:lineRule="auto"/>
              <w:ind w:left="2564"/>
              <w:rPr>
                <w:sz w:val="24"/>
                <w:szCs w:val="24"/>
              </w:rPr>
            </w:pPr>
            <w:r>
              <w:rPr>
                <w:b/>
                <w:bCs/>
                <w:spacing w:val="1"/>
                <w:sz w:val="24"/>
                <w:szCs w:val="24"/>
              </w:rPr>
              <w:t>违法行为</w:t>
            </w:r>
          </w:p>
        </w:tc>
        <w:tc>
          <w:tcPr>
            <w:tcW w:w="1887" w:type="dxa"/>
            <w:vAlign w:val="top"/>
          </w:tcPr>
          <w:p>
            <w:pPr>
              <w:pStyle w:val="7"/>
              <w:spacing w:before="272" w:line="229" w:lineRule="auto"/>
              <w:ind w:left="53"/>
              <w:rPr>
                <w:sz w:val="24"/>
                <w:szCs w:val="24"/>
              </w:rPr>
            </w:pPr>
            <w:r>
              <w:rPr>
                <w:b/>
                <w:bCs/>
                <w:spacing w:val="2"/>
                <w:sz w:val="24"/>
                <w:szCs w:val="24"/>
              </w:rPr>
              <w:t>从重处罚的情形</w:t>
            </w:r>
          </w:p>
        </w:tc>
        <w:tc>
          <w:tcPr>
            <w:tcW w:w="5444" w:type="dxa"/>
            <w:vAlign w:val="top"/>
          </w:tcPr>
          <w:p>
            <w:pPr>
              <w:pStyle w:val="7"/>
              <w:spacing w:before="270" w:line="227" w:lineRule="auto"/>
              <w:ind w:left="2012"/>
              <w:rPr>
                <w:sz w:val="24"/>
                <w:szCs w:val="24"/>
              </w:rPr>
            </w:pPr>
            <w:r>
              <w:rPr>
                <w:b/>
                <w:bCs/>
                <w:spacing w:val="3"/>
                <w:sz w:val="24"/>
                <w:szCs w:val="24"/>
              </w:rPr>
              <w:t>相应法定依据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58" w:type="dxa"/>
            <w:vAlign w:val="top"/>
          </w:tcPr>
          <w:p>
            <w:pPr>
              <w:spacing w:line="248" w:lineRule="auto"/>
              <w:rPr>
                <w:rFonts w:ascii="Arial"/>
                <w:sz w:val="21"/>
              </w:rPr>
            </w:pPr>
          </w:p>
          <w:p>
            <w:pPr>
              <w:spacing w:line="248" w:lineRule="auto"/>
              <w:rPr>
                <w:rFonts w:ascii="Arial"/>
                <w:sz w:val="21"/>
              </w:rPr>
            </w:pPr>
          </w:p>
          <w:p>
            <w:pPr>
              <w:pStyle w:val="7"/>
              <w:spacing w:before="62" w:line="258" w:lineRule="exact"/>
              <w:ind w:left="392"/>
            </w:pPr>
          </w:p>
        </w:tc>
        <w:tc>
          <w:tcPr>
            <w:tcW w:w="6064" w:type="dxa"/>
            <w:vAlign w:val="top"/>
          </w:tcPr>
          <w:p>
            <w:pPr>
              <w:pStyle w:val="7"/>
              <w:spacing w:before="61" w:line="234" w:lineRule="auto"/>
              <w:ind w:left="60" w:right="38" w:hanging="23"/>
              <w:rPr>
                <w:rFonts w:hint="eastAsia" w:eastAsia="宋体"/>
                <w:lang w:eastAsia="zh-CN"/>
              </w:rPr>
            </w:pPr>
            <w:r>
              <w:rPr>
                <w:rFonts w:hint="eastAsia"/>
                <w:lang w:eastAsia="zh-CN"/>
              </w:rPr>
              <w:t>无</w:t>
            </w:r>
          </w:p>
        </w:tc>
        <w:tc>
          <w:tcPr>
            <w:tcW w:w="1887" w:type="dxa"/>
            <w:tcBorders>
              <w:bottom w:val="single" w:color="auto" w:sz="4"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62" w:line="234" w:lineRule="auto"/>
              <w:ind w:left="44" w:right="44" w:hanging="10"/>
              <w:jc w:val="both"/>
            </w:pPr>
          </w:p>
        </w:tc>
        <w:tc>
          <w:tcPr>
            <w:tcW w:w="5444" w:type="dxa"/>
            <w:vAlign w:val="top"/>
          </w:tcPr>
          <w:p>
            <w:pPr>
              <w:pStyle w:val="7"/>
              <w:spacing w:before="18" w:line="223" w:lineRule="auto"/>
              <w:ind w:left="30" w:right="45"/>
            </w:pPr>
          </w:p>
        </w:tc>
      </w:tr>
    </w:tbl>
    <w:p>
      <w:pPr>
        <w:pStyle w:val="2"/>
        <w:spacing w:before="44" w:line="228" w:lineRule="auto"/>
        <w:ind w:right="5"/>
        <w:jc w:val="right"/>
      </w:pPr>
      <w:r>
        <w:rPr>
          <w:spacing w:val="10"/>
        </w:rPr>
        <w:t>备注：本清单中依据《中华人民共和国审计法实施条例》对应引用《中华人民共和国审计法》相关条款，以新修订《中华人民共和</w:t>
      </w:r>
      <w:r>
        <w:rPr>
          <w:spacing w:val="9"/>
        </w:rPr>
        <w:t>国审计法》的相关条款和内容为</w:t>
      </w:r>
    </w:p>
    <w:p>
      <w:pPr>
        <w:spacing w:before="9" w:line="233" w:lineRule="auto"/>
        <w:ind w:left="42"/>
        <w:rPr>
          <w:rFonts w:ascii="黑体" w:hAnsi="黑体" w:eastAsia="黑体" w:cs="黑体"/>
          <w:color w:val="auto"/>
          <w:sz w:val="19"/>
          <w:szCs w:val="19"/>
        </w:rPr>
      </w:pPr>
      <w:r>
        <w:rPr>
          <w:rFonts w:ascii="黑体" w:hAnsi="黑体" w:eastAsia="黑体" w:cs="黑体"/>
          <w:color w:val="auto"/>
          <w:sz w:val="19"/>
          <w:szCs w:val="19"/>
        </w:rPr>
        <w:t>准。</w:t>
      </w:r>
    </w:p>
    <w:sectPr>
      <w:pgSz w:w="16830" w:h="11910"/>
      <w:pgMar w:top="1012" w:right="1506" w:bottom="0" w:left="106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553559"/>
    <w:rsid w:val="25AF8489"/>
    <w:rsid w:val="2F495E23"/>
    <w:rsid w:val="384926C4"/>
    <w:rsid w:val="3BBA1BFE"/>
    <w:rsid w:val="75EE25F1"/>
    <w:rsid w:val="7BEE1400"/>
    <w:rsid w:val="7D757B80"/>
    <w:rsid w:val="FBDFE8FD"/>
    <w:rsid w:val="FCF79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3455</Words>
  <Characters>3635</Characters>
  <TotalTime>13</TotalTime>
  <ScaleCrop>false</ScaleCrop>
  <LinksUpToDate>false</LinksUpToDate>
  <CharactersWithSpaces>3714</CharactersWithSpaces>
  <Application>WPS Office_11.8.2.11810_F1E327BC-269C-435d-A152-05C5408002CA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2024-08-27T23:25:00Z</dcterms:created>
  <dc:creator>Kingsoft-PDF</dc:creator>
  <cp:lastModifiedBy>uos</cp:lastModifiedBy>
  <cp:lastPrinted>2025-10-31T12:16:25Z</cp:lastPrinted>
  <dcterms:modified xsi:type="dcterms:W3CDTF">2025-10-31T12:22:02Z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2025-06-28T16:52:41Z</vt:filetime>
  </property>
  <property fmtid="{D5CDD505-2E9C-101B-9397-08002B2CF9AE}" pid="4" name="KSOTemplateDocerSaveRecord">
    <vt:lpwstr>eyJoZGlkIjoiNzdiNTczMmRlZTdlMzMyOGI5YmEyNWQ0ZjYwOWRhMTgiLCJ1c2VySWQiOiIyMDY0NDEzNTAifQ==</vt:lpwstr>
  </property>
  <property fmtid="{D5CDD505-2E9C-101B-9397-08002B2CF9AE}" pid="5" name="KSOProductBuildVer">
    <vt:lpwstr>2052-11.8.2.11810</vt:lpwstr>
  </property>
  <property fmtid="{D5CDD505-2E9C-101B-9397-08002B2CF9AE}" pid="6" name="ICV">
    <vt:lpwstr>49B3483C56514D2C8FCAE3E748C78912_13</vt:lpwstr>
  </property>
</Properties>
</file>