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米林县退役军人事务局2020年</w:t>
      </w:r>
    </w:p>
    <w:p>
      <w:pPr>
        <w:spacing w:line="55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spacing w:line="550" w:lineRule="exact"/>
        <w:jc w:val="center"/>
        <w:rPr>
          <w:rFonts w:ascii="方正小标宋简体" w:hAnsi="方正小标宋简体" w:eastAsia="方正小标宋简体" w:cs="方正小标宋简体"/>
          <w:sz w:val="44"/>
          <w:szCs w:val="44"/>
        </w:rPr>
      </w:pPr>
    </w:p>
    <w:p>
      <w:pPr>
        <w:spacing w:line="550" w:lineRule="exact"/>
        <w:ind w:firstLine="64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根据《中华人民共和国政府信息公开条例》(国务院令第711号，以下简称《条例》)要求，现公布米林县退役军人事务局2020年政府信息公开工作年度报告。</w:t>
      </w:r>
    </w:p>
    <w:p>
      <w:pPr>
        <w:spacing w:line="550" w:lineRule="exact"/>
        <w:ind w:firstLine="640"/>
        <w:rPr>
          <w:rFonts w:ascii="仿宋_GB2312" w:hAnsi="仿宋_GB2312" w:eastAsia="仿宋_GB2312" w:cs="仿宋_GB2312"/>
          <w:color w:val="000000" w:themeColor="text1"/>
          <w:sz w:val="32"/>
          <w:szCs w:val="32"/>
        </w:rPr>
      </w:pPr>
      <w:bookmarkStart w:id="0" w:name="_GoBack"/>
      <w:bookmarkEnd w:id="0"/>
      <w:r>
        <w:rPr>
          <w:rFonts w:hint="eastAsia" w:ascii="仿宋_GB2312" w:hAnsi="仿宋_GB2312" w:eastAsia="仿宋_GB2312" w:cs="仿宋_GB2312"/>
          <w:color w:val="000000" w:themeColor="text1"/>
          <w:sz w:val="32"/>
          <w:szCs w:val="32"/>
        </w:rPr>
        <w:t>本报告包括总体情况、主动公开政府信息情况、收到和处理政府信息公开申请情况、政府信息公开行政复议和行政诉讼情况、存在的主要问题及改进情况等五个部分。除特别说明的外，所列数据统计时限为2020年1月1日至2020年12月31日。公众如需进一步咨询了解相关信息，请与米林县退役军人事务局单位联系(地址：党政东楼一楼;邮编：860500;电话：0894-5532002；邮箱：mlxtyjrsw@126.com)。</w:t>
      </w:r>
    </w:p>
    <w:p>
      <w:pPr>
        <w:spacing w:line="550" w:lineRule="exact"/>
        <w:rPr>
          <w:rFonts w:ascii="黑体" w:hAnsi="黑体" w:eastAsia="黑体" w:cs="黑体"/>
          <w:sz w:val="32"/>
          <w:szCs w:val="32"/>
        </w:rPr>
      </w:pPr>
      <w:r>
        <w:rPr>
          <w:rFonts w:hint="eastAsia" w:ascii="黑体" w:hAnsi="黑体" w:eastAsia="黑体" w:cs="黑体"/>
          <w:sz w:val="32"/>
          <w:szCs w:val="32"/>
        </w:rPr>
        <w:t xml:space="preserve">    一、总体情况</w:t>
      </w:r>
    </w:p>
    <w:p>
      <w:pPr>
        <w:spacing w:line="576" w:lineRule="exact"/>
        <w:ind w:firstLine="600"/>
        <w:rPr>
          <w:rFonts w:ascii="楷体_GB2312" w:hAnsi="仿宋_GB2312" w:eastAsia="楷体_GB2312" w:cs="仿宋_GB2312"/>
          <w:b/>
          <w:sz w:val="32"/>
          <w:szCs w:val="32"/>
        </w:rPr>
      </w:pPr>
      <w:r>
        <w:rPr>
          <w:rFonts w:hint="eastAsia" w:ascii="楷体_GB2312" w:hAnsi="仿宋_GB2312" w:eastAsia="楷体_GB2312" w:cs="仿宋_GB2312"/>
          <w:b/>
          <w:bCs/>
          <w:sz w:val="32"/>
          <w:szCs w:val="32"/>
        </w:rPr>
        <w:t>(</w:t>
      </w:r>
      <w:r>
        <w:rPr>
          <w:rFonts w:hint="eastAsia" w:ascii="楷体_GB2312" w:hAnsi="黑体" w:eastAsia="楷体_GB2312" w:cs="黑体"/>
          <w:b/>
          <w:sz w:val="32"/>
          <w:szCs w:val="32"/>
        </w:rPr>
        <w:t>一)提高认识，加强对政府信息公开工作的组织领导</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 xml:space="preserve"> 政府信息公开是实现依法行政，建设法治政府的重要举措；是建立健全惩治和预防腐败体系，形成行为规范、公正透明、廉洁高效的行政管理体系的重要内容；是维护行政管理相对人和人民群众权益的重要手段。为提高全局干部职工对政府信息公开工作的认识，我局先后组织学习了《中华人民共和国行政许可法》以及《中华人民共和国政府信息公开条例》等法律、法规和规定。成立了由局党组书记、局长任组长的政府信息公开领导小组，并根据局领导的分工及科室负责人的变动，及时调整政府信息公开工作领导小组成员。领导小组下设办公室，负责政府信息公开工作的具体事项。</w:t>
      </w:r>
    </w:p>
    <w:p>
      <w:pPr>
        <w:spacing w:line="576" w:lineRule="exact"/>
        <w:ind w:firstLine="600"/>
        <w:rPr>
          <w:rFonts w:ascii="仿宋_GB2312" w:hAnsi="仿宋_GB2312" w:eastAsia="仿宋_GB2312" w:cs="仿宋_GB2312"/>
          <w:b/>
          <w:bCs/>
          <w:sz w:val="32"/>
          <w:szCs w:val="32"/>
        </w:rPr>
      </w:pPr>
      <w:r>
        <w:rPr>
          <w:rFonts w:hint="eastAsia" w:ascii="楷体_GB2312" w:hAnsi="仿宋_GB2312" w:eastAsia="楷体_GB2312" w:cs="仿宋_GB2312"/>
          <w:b/>
          <w:bCs/>
          <w:sz w:val="32"/>
          <w:szCs w:val="32"/>
        </w:rPr>
        <w:t>(二)健全制度，规范政府信息公开工作行为</w:t>
      </w:r>
    </w:p>
    <w:p>
      <w:pPr>
        <w:spacing w:line="576" w:lineRule="exact"/>
        <w:ind w:firstLine="6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规范政府信息公开工作，我局加强了制度建设的工作力度，通过制度来约束和规范机关工作人员履行政府信息公开工作职责。一是建立健全了局机关工作制度。内容涉及岗位责任制、绩效考核制、首问责任制、办事时限等、廉政建设制度、财务管理制度、学习制度等。二是制定了信息公开制度和公开承诺制。政府信息公开制度包括主动公开制度、依申请公开制度、发布协调制度、保密制度等内容。公开承诺制包括首问责任制、一次告知制、办事时限制、办事公开制、执行承诺制、绩效考核制、责任追究制、工作联动制等内容。</w:t>
      </w:r>
    </w:p>
    <w:p>
      <w:pPr>
        <w:spacing w:line="576"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5B9BD5"/>
          <w:sz w:val="32"/>
          <w:szCs w:val="32"/>
        </w:rPr>
        <w:t xml:space="preserve">    </w:t>
      </w:r>
      <w:r>
        <w:rPr>
          <w:rFonts w:hint="eastAsia" w:ascii="仿宋_GB2312" w:hAnsi="仿宋_GB2312" w:eastAsia="仿宋_GB2312" w:cs="仿宋_GB2312"/>
          <w:bCs/>
          <w:color w:val="000000" w:themeColor="text1"/>
          <w:sz w:val="32"/>
          <w:szCs w:val="32"/>
        </w:rPr>
        <w:t>退役军人事务局网上公开事项退役军人培训事项，将5名退役军人培训信息事项录入至米林县“一网通”办系统。根据政府信息公开工作的要求，局依法行政领导小组制定了帮扶就业流程图、时限办结制度、服务中心工作流程图，确保了全局行政管理工作的规范有序。</w:t>
      </w:r>
    </w:p>
    <w:p>
      <w:pPr>
        <w:spacing w:line="576" w:lineRule="exact"/>
        <w:ind w:firstLine="600"/>
        <w:rPr>
          <w:rFonts w:ascii="楷体_GB2312" w:hAnsi="仿宋_GB2312" w:eastAsia="楷体_GB2312" w:cs="仿宋_GB2312"/>
          <w:b/>
          <w:bCs/>
          <w:sz w:val="32"/>
          <w:szCs w:val="32"/>
        </w:rPr>
      </w:pPr>
      <w:r>
        <w:rPr>
          <w:rFonts w:hint="eastAsia" w:ascii="楷体_GB2312" w:hAnsi="仿宋_GB2312" w:eastAsia="楷体_GB2312" w:cs="仿宋_GB2312"/>
          <w:b/>
          <w:bCs/>
          <w:sz w:val="32"/>
          <w:szCs w:val="32"/>
        </w:rPr>
        <w:t>(三)突出重点，狠抓政府信息公开工作硬件建设</w:t>
      </w:r>
    </w:p>
    <w:p>
      <w:pPr>
        <w:spacing w:line="576"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 xml:space="preserve"> 2020年退役军人服务中心政府信息公开工作在进一步完善“两有两挂牌四上墙”，即有投诉窗口、有举报电话，机关科室挂牌办公、工作人员挂牌上岗，工作机构位置示意图上墙、办事依据上墙、办事条件和办事程序上墙、办事结果上墙。最后是完善了政府信息公开内容，开通了“0894-5532003”退役军人咨询服务热线。</w:t>
      </w:r>
    </w:p>
    <w:p>
      <w:pPr>
        <w:spacing w:line="576" w:lineRule="exact"/>
        <w:ind w:firstLine="600"/>
        <w:rPr>
          <w:rFonts w:ascii="仿宋_GB2312" w:hAnsi="仿宋_GB2312" w:eastAsia="仿宋_GB2312" w:cs="仿宋_GB2312"/>
          <w:sz w:val="32"/>
          <w:szCs w:val="32"/>
        </w:rPr>
      </w:pPr>
      <w:r>
        <w:rPr>
          <w:rFonts w:hint="eastAsia" w:ascii="楷体_GB2312" w:hAnsi="仿宋_GB2312" w:eastAsia="楷体_GB2312" w:cs="仿宋_GB2312"/>
          <w:b/>
          <w:bCs/>
          <w:sz w:val="32"/>
          <w:szCs w:val="32"/>
        </w:rPr>
        <w:t>(四)加强监督，确保政府信息公开工作落到实处</w:t>
      </w:r>
    </w:p>
    <w:p>
      <w:pPr>
        <w:spacing w:line="576" w:lineRule="exact"/>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 xml:space="preserve">  2020年，我局充分发挥内部监督、层级监督的作用，确保了政府信息公开工作落到实处。一是局政府信息公开领导小组定期组织对政府信息公开工作进行检查，督促各科室站及时做好政府信息公开工作，政府信息公开工作作为各科室、退役军人服务中心的重要内容之一向局党组班子成员进行汇报。局政府信息公开领导小组办公室对政府信息公开工作检查情况进行讲评。如对挂牌上岗情况、信息上报情况、政务窗口工作情况定期进行检查、讲评。</w:t>
      </w:r>
    </w:p>
    <w:p>
      <w:pPr>
        <w:spacing w:line="576" w:lineRule="exact"/>
        <w:rPr>
          <w:rFonts w:ascii="黑体" w:hAnsi="黑体" w:eastAsia="黑体" w:cs="黑体"/>
          <w:sz w:val="32"/>
          <w:szCs w:val="32"/>
        </w:rPr>
      </w:pPr>
      <w:r>
        <w:rPr>
          <w:rFonts w:hint="eastAsia" w:ascii="黑体" w:hAnsi="黑体" w:eastAsia="黑体" w:cs="黑体"/>
          <w:sz w:val="32"/>
          <w:szCs w:val="32"/>
        </w:rPr>
        <w:t xml:space="preserve">    二、主动公开情况</w:t>
      </w:r>
    </w:p>
    <w:tbl>
      <w:tblPr>
        <w:tblStyle w:val="4"/>
        <w:tblW w:w="8860" w:type="dxa"/>
        <w:jc w:val="center"/>
        <w:tblInd w:w="0" w:type="dxa"/>
        <w:tblLayout w:type="fixed"/>
        <w:tblCellMar>
          <w:top w:w="0" w:type="dxa"/>
          <w:left w:w="108" w:type="dxa"/>
          <w:bottom w:w="0" w:type="dxa"/>
          <w:right w:w="108" w:type="dxa"/>
        </w:tblCellMar>
      </w:tblPr>
      <w:tblGrid>
        <w:gridCol w:w="3383"/>
        <w:gridCol w:w="2070"/>
        <w:gridCol w:w="6"/>
        <w:gridCol w:w="1267"/>
        <w:gridCol w:w="2134"/>
      </w:tblGrid>
      <w:tr>
        <w:tblPrEx>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第二十条第（一）项</w:t>
            </w:r>
          </w:p>
        </w:tc>
      </w:tr>
      <w:tr>
        <w:tblPrEx>
          <w:tblLayout w:type="fixed"/>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本年新</w:t>
            </w:r>
            <w:r>
              <w:rPr>
                <w:rFonts w:hint="eastAsia" w:ascii="宋体" w:hAnsi="宋体" w:cs="宋体"/>
                <w:kern w:val="0"/>
                <w:sz w:val="20"/>
                <w:szCs w:val="20"/>
              </w:rPr>
              <w:br w:type="textWrapping"/>
            </w:r>
            <w:r>
              <w:rPr>
                <w:rFonts w:hint="eastAsia" w:ascii="宋体" w:hAnsi="宋体" w:cs="宋体"/>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本年新</w:t>
            </w:r>
            <w:r>
              <w:rPr>
                <w:rFonts w:hint="eastAsia" w:ascii="宋体" w:hAnsi="宋体" w:cs="宋体"/>
                <w:kern w:val="0"/>
                <w:sz w:val="20"/>
                <w:szCs w:val="20"/>
              </w:rPr>
              <w:br w:type="textWrapping"/>
            </w:r>
            <w:r>
              <w:rPr>
                <w:rFonts w:hint="eastAsia" w:ascii="宋体" w:hAnsi="宋体" w:cs="宋体"/>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对外公开总数量</w:t>
            </w:r>
          </w:p>
        </w:tc>
      </w:tr>
      <w:tr>
        <w:tblPrEx>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第二十条第（五）项</w:t>
            </w:r>
          </w:p>
        </w:tc>
      </w:tr>
      <w:tr>
        <w:tblPrEx>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处理决定数量</w:t>
            </w:r>
          </w:p>
        </w:tc>
      </w:tr>
      <w:tr>
        <w:tblPrEx>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0</w:t>
            </w:r>
          </w:p>
        </w:tc>
        <w:tc>
          <w:tcPr>
            <w:tcW w:w="1267"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 xml:space="preserve">3  </w:t>
            </w:r>
          </w:p>
        </w:tc>
        <w:tc>
          <w:tcPr>
            <w:tcW w:w="1267"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hint="default"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18</w:t>
            </w:r>
          </w:p>
        </w:tc>
      </w:tr>
      <w:tr>
        <w:tblPrEx>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第二十条第（六）项</w:t>
            </w:r>
          </w:p>
        </w:tc>
      </w:tr>
      <w:tr>
        <w:tblPrEx>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处理决定数量</w:t>
            </w:r>
          </w:p>
        </w:tc>
      </w:tr>
      <w:tr>
        <w:tblPrEx>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w:t>
            </w:r>
          </w:p>
        </w:tc>
        <w:tc>
          <w:tcPr>
            <w:tcW w:w="12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1267"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2134" w:type="dxa"/>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第二十条第（八）项</w:t>
            </w:r>
          </w:p>
        </w:tc>
      </w:tr>
      <w:tr>
        <w:tblPrEx>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本年增/减</w:t>
            </w:r>
          </w:p>
        </w:tc>
      </w:tr>
      <w:tr>
        <w:tblPrEx>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0</w:t>
            </w:r>
          </w:p>
        </w:tc>
      </w:tr>
      <w:tr>
        <w:tblPrEx>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第二十条第（九）项</w:t>
            </w:r>
          </w:p>
        </w:tc>
      </w:tr>
      <w:tr>
        <w:tblPrEx>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采购总金额</w:t>
            </w:r>
          </w:p>
        </w:tc>
      </w:tr>
      <w:tr>
        <w:tblPrEx>
          <w:tblLayout w:type="fixed"/>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nil"/>
              <w:right w:val="single" w:color="auto" w:sz="4" w:space="0"/>
            </w:tcBorders>
            <w:vAlign w:val="center"/>
          </w:tcPr>
          <w:p>
            <w:pPr>
              <w:widowControl/>
              <w:spacing w:line="40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政府集中采购</w:t>
            </w:r>
          </w:p>
        </w:tc>
        <w:tc>
          <w:tcPr>
            <w:tcW w:w="2076" w:type="dxa"/>
            <w:gridSpan w:val="2"/>
            <w:tcBorders>
              <w:top w:val="nil"/>
              <w:left w:val="nil"/>
              <w:bottom w:val="nil"/>
              <w:right w:val="single" w:color="auto"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1</w:t>
            </w: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 w:val="20"/>
                <w:szCs w:val="20"/>
              </w:rPr>
            </w:pPr>
            <w:r>
              <w:rPr>
                <w:rFonts w:hint="eastAsia" w:ascii="宋体" w:hAnsi="宋体" w:cs="宋体"/>
                <w:kern w:val="0"/>
                <w:sz w:val="20"/>
                <w:szCs w:val="20"/>
              </w:rPr>
              <w:t>23230元</w:t>
            </w:r>
          </w:p>
        </w:tc>
      </w:tr>
      <w:tr>
        <w:tblPrEx>
          <w:tblLayout w:type="fixed"/>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p>
        </w:tc>
        <w:tc>
          <w:tcPr>
            <w:tcW w:w="2076"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kern w:val="0"/>
                <w:sz w:val="20"/>
                <w:szCs w:val="20"/>
              </w:rPr>
            </w:pPr>
          </w:p>
        </w:tc>
        <w:tc>
          <w:tcPr>
            <w:tcW w:w="3401" w:type="dxa"/>
            <w:gridSpan w:val="2"/>
            <w:tcBorders>
              <w:top w:val="single" w:color="auto" w:sz="4" w:space="0"/>
              <w:left w:val="nil"/>
              <w:bottom w:val="single" w:color="auto" w:sz="4" w:space="0"/>
              <w:right w:val="single" w:color="000000" w:sz="4" w:space="0"/>
            </w:tcBorders>
            <w:vAlign w:val="center"/>
          </w:tcPr>
          <w:p>
            <w:pPr>
              <w:widowControl/>
              <w:spacing w:line="400" w:lineRule="exact"/>
              <w:jc w:val="center"/>
              <w:rPr>
                <w:rFonts w:ascii="宋体" w:hAnsi="宋体" w:cs="宋体"/>
                <w:kern w:val="0"/>
                <w:sz w:val="20"/>
                <w:szCs w:val="20"/>
              </w:rPr>
            </w:pPr>
          </w:p>
        </w:tc>
      </w:tr>
    </w:tbl>
    <w:p>
      <w:pPr>
        <w:spacing w:line="576" w:lineRule="exact"/>
        <w:rPr>
          <w:rFonts w:ascii="黑体" w:hAnsi="黑体" w:eastAsia="黑体" w:cs="黑体"/>
          <w:sz w:val="32"/>
          <w:szCs w:val="32"/>
        </w:rPr>
      </w:pPr>
      <w:r>
        <w:rPr>
          <w:rFonts w:hint="eastAsia" w:ascii="黑体" w:hAnsi="黑体" w:eastAsia="黑体" w:cs="黑体"/>
          <w:sz w:val="32"/>
          <w:szCs w:val="32"/>
        </w:rPr>
        <w:t xml:space="preserve">    三、收到和处理政府信息公开申请情况</w:t>
      </w:r>
    </w:p>
    <w:tbl>
      <w:tblPr>
        <w:tblStyle w:val="4"/>
        <w:tblW w:w="9280" w:type="dxa"/>
        <w:jc w:val="center"/>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（本列数据的勾稽关系为：第一项加第二项之和，等于第三项加第四项之和）</w:t>
            </w:r>
          </w:p>
        </w:tc>
        <w:tc>
          <w:tcPr>
            <w:tcW w:w="5611" w:type="dxa"/>
            <w:gridSpan w:val="7"/>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28" w:type="dxa"/>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自然人</w:t>
            </w:r>
          </w:p>
        </w:tc>
        <w:tc>
          <w:tcPr>
            <w:tcW w:w="4078" w:type="dxa"/>
            <w:gridSpan w:val="5"/>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法人或其他组织</w:t>
            </w:r>
          </w:p>
        </w:tc>
        <w:tc>
          <w:tcPr>
            <w:tcW w:w="705" w:type="dxa"/>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2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商业企业</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科研机构</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社会公益组织</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法律服务机构</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其他</w:t>
            </w:r>
          </w:p>
        </w:tc>
        <w:tc>
          <w:tcPr>
            <w:tcW w:w="705"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一、本年新收政府信息公开申请数量</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二、上年结转政府信息公开申请数量</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三、本年度办理结果</w:t>
            </w: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（一）予以公开</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（二）部分公开（区分处理的，只计这一情形，不计其他情形）</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restart"/>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（三）不予公开</w:t>
            </w: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1.属于国家秘密</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2.其他法律行政法规禁止公开</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3.危及“三安全一稳定”</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4.保护第三方合法权益</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5.属于三类内部事务信息</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6.属于四类过程性信息</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7.属于行政执法案卷</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8.属于行政查询事项</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restart"/>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（四）无法提供</w:t>
            </w: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1.本机关不掌握相关政府信息</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2.没有现成信息需要另行制作</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3.补正后申请内容仍不明确</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restart"/>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（五）不予处理</w:t>
            </w: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1.信访举报投诉类申请</w:t>
            </w:r>
          </w:p>
        </w:tc>
        <w:tc>
          <w:tcPr>
            <w:tcW w:w="828" w:type="dxa"/>
            <w:tcBorders>
              <w:tl2br w:val="nil"/>
              <w:tr2bl w:val="nil"/>
            </w:tcBorders>
            <w:vAlign w:val="center"/>
          </w:tcPr>
          <w:p>
            <w:pPr>
              <w:widowControl/>
              <w:spacing w:line="300" w:lineRule="exact"/>
              <w:ind w:firstLine="210" w:firstLineChars="100"/>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2.重复申请</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3.要求提供公开出版物</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4.无正当理由大量反复申请</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858"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137" w:type="dxa"/>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5.要求行政机关确认或重新出具已获取信息</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（六）其他处理</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p>
        </w:tc>
        <w:tc>
          <w:tcPr>
            <w:tcW w:w="2995" w:type="dxa"/>
            <w:gridSpan w:val="2"/>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（七）总计</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spacing w:line="300" w:lineRule="exac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szCs w:val="21"/>
              </w:rPr>
              <w:t>四、结转下年度继续办理</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67"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828"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993"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22"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c>
          <w:tcPr>
            <w:tcW w:w="705" w:type="dxa"/>
            <w:tcBorders>
              <w:tl2br w:val="nil"/>
              <w:tr2bl w:val="nil"/>
            </w:tcBorders>
            <w:vAlign w:val="center"/>
          </w:tcPr>
          <w:p>
            <w:pPr>
              <w:widowControl/>
              <w:spacing w:line="300" w:lineRule="exac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0</w:t>
            </w:r>
          </w:p>
        </w:tc>
      </w:tr>
    </w:tbl>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5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55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c>
          <w:tcPr>
            <w:tcW w:w="60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333333"/>
                <w:kern w:val="0"/>
                <w:szCs w:val="21"/>
              </w:rPr>
            </w:pPr>
            <w:r>
              <w:rPr>
                <w:rFonts w:hint="eastAsia" w:ascii="宋体" w:hAnsi="宋体" w:cs="宋体"/>
                <w:color w:val="333333"/>
                <w:kern w:val="0"/>
                <w:szCs w:val="21"/>
              </w:rPr>
              <w:t>0</w:t>
            </w:r>
          </w:p>
        </w:tc>
      </w:tr>
    </w:tbl>
    <w:p>
      <w:pPr>
        <w:widowControl/>
        <w:spacing w:line="576" w:lineRule="exact"/>
        <w:rPr>
          <w:rFonts w:ascii="黑体" w:hAnsi="黑体" w:eastAsia="黑体" w:cs="黑体"/>
          <w:color w:val="333333"/>
          <w:kern w:val="0"/>
          <w:sz w:val="32"/>
          <w:szCs w:val="32"/>
        </w:rPr>
      </w:pPr>
      <w:r>
        <w:rPr>
          <w:rFonts w:hint="eastAsia" w:ascii="黑体" w:hAnsi="黑体" w:eastAsia="黑体" w:cs="黑体"/>
          <w:color w:val="333333"/>
          <w:kern w:val="0"/>
          <w:sz w:val="32"/>
          <w:szCs w:val="32"/>
        </w:rPr>
        <w:t xml:space="preserve">    五、存在的主要问题及改进情况</w:t>
      </w:r>
    </w:p>
    <w:p>
      <w:pPr>
        <w:spacing w:line="576"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（一）信息公开时效性不强。</w:t>
      </w:r>
      <w:r>
        <w:rPr>
          <w:rFonts w:hint="eastAsia" w:ascii="仿宋_GB2312" w:hAnsi="仿宋_GB2312" w:eastAsia="仿宋_GB2312" w:cs="仿宋_GB2312"/>
          <w:color w:val="000000" w:themeColor="text1"/>
          <w:sz w:val="32"/>
          <w:szCs w:val="32"/>
        </w:rPr>
        <w:t>事项办理人员在完成退役军人培训事项的办理时，未及时录入至</w:t>
      </w:r>
      <w:r>
        <w:rPr>
          <w:rFonts w:hint="eastAsia" w:ascii="仿宋_GB2312" w:hAnsi="仿宋_GB2312" w:eastAsia="仿宋_GB2312" w:cs="仿宋_GB2312"/>
          <w:bCs/>
          <w:color w:val="000000" w:themeColor="text1"/>
          <w:sz w:val="32"/>
          <w:szCs w:val="32"/>
        </w:rPr>
        <w:t>“一网通”办系统。在2021年政府信息公开工作中将指派专人负责，严格按照退役军人培训事项办理流程录入系统，并由1名副职领导定期检查信息录入情况，完成闭环管理,确保及时将退役军人培训信息录入</w:t>
      </w:r>
      <w:r>
        <w:rPr>
          <w:rFonts w:hint="eastAsia" w:ascii="仿宋_GB2312" w:hAnsi="仿宋_GB2312" w:eastAsia="仿宋_GB2312" w:cs="仿宋_GB2312"/>
          <w:color w:val="000000" w:themeColor="text1"/>
          <w:sz w:val="32"/>
          <w:szCs w:val="32"/>
        </w:rPr>
        <w:t>至</w:t>
      </w:r>
      <w:r>
        <w:rPr>
          <w:rFonts w:hint="eastAsia" w:ascii="仿宋_GB2312" w:hAnsi="仿宋_GB2312" w:eastAsia="仿宋_GB2312" w:cs="仿宋_GB2312"/>
          <w:bCs/>
          <w:color w:val="000000" w:themeColor="text1"/>
          <w:sz w:val="32"/>
          <w:szCs w:val="32"/>
        </w:rPr>
        <w:t>“一网通”办系统。</w:t>
      </w:r>
    </w:p>
    <w:p>
      <w:pPr>
        <w:spacing w:line="576" w:lineRule="exact"/>
        <w:ind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（二）宣传学习力度不足。</w:t>
      </w:r>
      <w:r>
        <w:rPr>
          <w:rFonts w:hint="eastAsia" w:ascii="仿宋_GB2312" w:hAnsi="仿宋_GB2312" w:eastAsia="仿宋_GB2312" w:cs="仿宋_GB2312"/>
          <w:sz w:val="32"/>
          <w:szCs w:val="32"/>
        </w:rPr>
        <w:t>退役军人事务局干部职工和退役军人在了解政府信息公开的意义、程序等内容上不够深入，相关概念不够明晰。2021年我局将加强政府信息公开宣传工作，将政府信息公开相关法律法规融入“法律进乡村”、“医疗直通车”、“综治宣传月、周、日”、“双拥宣传月”、退役军人交流座谈会、调研工作等多种形式的活动中，同时将政府信息公开相关法律法规纳入退役军人事务局党支部学习计划中，多措并举真正达到对干部职工、退役军人宣传入脑入心的效果。</w:t>
      </w: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米林县退役军人事务局</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2021年1月20日</w:t>
      </w:r>
    </w:p>
    <w:p>
      <w:pPr>
        <w:widowControl/>
        <w:spacing w:line="578" w:lineRule="exact"/>
        <w:rPr>
          <w:rFonts w:ascii="仿宋_GB2312" w:hAnsi="仿宋_GB2312" w:eastAsia="仿宋_GB2312" w:cs="仿宋_GB2312"/>
          <w:sz w:val="32"/>
          <w:szCs w:val="32"/>
        </w:rPr>
      </w:pPr>
      <w:r>
        <w:rPr>
          <w:rFonts w:hint="eastAsia" w:ascii="黑体" w:hAnsi="黑体" w:eastAsia="黑体" w:cs="黑体"/>
          <w:color w:val="333333"/>
          <w:kern w:val="0"/>
          <w:sz w:val="32"/>
          <w:szCs w:val="32"/>
        </w:rPr>
        <w:t xml:space="preserve">  </w:t>
      </w:r>
    </w:p>
    <w:p>
      <w:pPr>
        <w:spacing w:line="576" w:lineRule="exact"/>
        <w:ind w:firstLine="640" w:firstLineChars="200"/>
        <w:rPr>
          <w:rFonts w:ascii="仿宋_GB2312" w:hAnsi="仿宋_GB2312" w:eastAsia="仿宋_GB2312" w:cs="仿宋_GB2312"/>
          <w:sz w:val="32"/>
          <w:szCs w:val="32"/>
        </w:rPr>
      </w:pPr>
    </w:p>
    <w:sectPr>
      <w:footerReference r:id="rId3" w:type="default"/>
      <w:pgSz w:w="12240" w:h="15840"/>
      <w:pgMar w:top="2098" w:right="1474" w:bottom="1984" w:left="1587" w:header="720" w:footer="720" w:gutter="0"/>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fldChar w:fldCharType="begin"/>
    </w:r>
    <w:r>
      <w:instrText xml:space="preserve"> PAGE   \* MERGEFORMAT </w:instrText>
    </w:r>
    <w:r>
      <w:fldChar w:fldCharType="separate"/>
    </w:r>
    <w:r>
      <w:rPr>
        <w:lang w:val="zh-CN"/>
      </w:rPr>
      <w:t>-</w:t>
    </w:r>
    <w:r>
      <w:t xml:space="preserve"> 2 -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2A86"/>
    <w:rsid w:val="00083E4F"/>
    <w:rsid w:val="000F1681"/>
    <w:rsid w:val="00290036"/>
    <w:rsid w:val="002B58EF"/>
    <w:rsid w:val="002B77B5"/>
    <w:rsid w:val="002E02F9"/>
    <w:rsid w:val="00332E0E"/>
    <w:rsid w:val="00374269"/>
    <w:rsid w:val="00387644"/>
    <w:rsid w:val="003A7C4F"/>
    <w:rsid w:val="004236CF"/>
    <w:rsid w:val="00565E9D"/>
    <w:rsid w:val="005F3EA1"/>
    <w:rsid w:val="00635E07"/>
    <w:rsid w:val="00695D99"/>
    <w:rsid w:val="006A07D9"/>
    <w:rsid w:val="00743139"/>
    <w:rsid w:val="00830BF9"/>
    <w:rsid w:val="008B1104"/>
    <w:rsid w:val="009601A9"/>
    <w:rsid w:val="009943B7"/>
    <w:rsid w:val="009F4533"/>
    <w:rsid w:val="00A025D2"/>
    <w:rsid w:val="00A82A86"/>
    <w:rsid w:val="00A9706D"/>
    <w:rsid w:val="00BD6DB0"/>
    <w:rsid w:val="00BE007D"/>
    <w:rsid w:val="00BF0FEB"/>
    <w:rsid w:val="00C37026"/>
    <w:rsid w:val="00C936F0"/>
    <w:rsid w:val="00CF3A3B"/>
    <w:rsid w:val="00D67CBC"/>
    <w:rsid w:val="00DB3812"/>
    <w:rsid w:val="00DC309C"/>
    <w:rsid w:val="00E452D2"/>
    <w:rsid w:val="00EC4796"/>
    <w:rsid w:val="00ED4F98"/>
    <w:rsid w:val="00F721DF"/>
    <w:rsid w:val="00FC0FC3"/>
    <w:rsid w:val="00FC6333"/>
    <w:rsid w:val="00FF5A5C"/>
    <w:rsid w:val="1558083D"/>
    <w:rsid w:val="4EEC4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semiHidden/>
    <w:unhideWhenUsed/>
    <w:uiPriority w:val="99"/>
  </w:style>
  <w:style w:type="character" w:customStyle="1" w:styleId="7">
    <w:name w:val="页脚 Char"/>
    <w:basedOn w:val="5"/>
    <w:link w:val="2"/>
    <w:uiPriority w:val="99"/>
    <w:rPr>
      <w:kern w:val="2"/>
      <w:sz w:val="18"/>
      <w:szCs w:val="18"/>
    </w:rPr>
  </w:style>
  <w:style w:type="character" w:customStyle="1" w:styleId="8">
    <w:name w:val="Subtle Reference"/>
    <w:basedOn w:val="5"/>
    <w:qFormat/>
    <w:uiPriority w:val="31"/>
    <w:rPr>
      <w:smallCaps/>
      <w:color w:val="C0504D" w:themeColor="accent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471</Words>
  <Characters>2690</Characters>
  <Lines>22</Lines>
  <Paragraphs>6</Paragraphs>
  <TotalTime>457</TotalTime>
  <ScaleCrop>false</ScaleCrop>
  <LinksUpToDate>false</LinksUpToDate>
  <CharactersWithSpaces>3155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User</dc:creator>
  <cp:lastModifiedBy>Administrator</cp:lastModifiedBy>
  <cp:lastPrinted>2021-01-29T00:18:00Z</cp:lastPrinted>
  <dcterms:modified xsi:type="dcterms:W3CDTF">2021-01-29T03:13:51Z</dcterms:modified>
  <dc:title>XXX2020年政府信息公开工作年度报告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