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wordWrap/>
        <w:adjustRightInd/>
        <w:snapToGrid/>
        <w:spacing w:before="0" w:after="0" w:line="550" w:lineRule="exact"/>
        <w:ind w:left="0" w:leftChars="0" w:right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米林县交通运输局2020年政府信息公开</w:t>
      </w:r>
    </w:p>
    <w:p>
      <w:pPr>
        <w:widowControl w:val="0"/>
        <w:wordWrap/>
        <w:adjustRightInd/>
        <w:snapToGrid/>
        <w:spacing w:before="0" w:after="0" w:line="550" w:lineRule="exact"/>
        <w:ind w:left="0" w:leftChars="0" w:right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工作年度报告</w:t>
      </w:r>
    </w:p>
    <w:p>
      <w:pPr>
        <w:widowControl w:val="0"/>
        <w:wordWrap/>
        <w:adjustRightInd/>
        <w:snapToGrid/>
        <w:spacing w:before="0" w:after="0" w:line="550" w:lineRule="exact"/>
        <w:ind w:left="0" w:leftChars="0" w:right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</w:p>
    <w:p>
      <w:pPr>
        <w:widowControl w:val="0"/>
        <w:numPr>
          <w:ilvl w:val="0"/>
          <w:numId w:val="0"/>
        </w:numPr>
        <w:wordWrap/>
        <w:adjustRightInd/>
        <w:snapToGrid/>
        <w:spacing w:before="0" w:after="0" w:line="55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根据《中华人民共和国政府信息公开条例》(国务院令第711号，以下简称《条例》)文件要求，现公布米林县交通运输局2020年政府信息公开工作年度报告。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before="0" w:after="0" w:line="55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本报告包括总体情况、主动公开政府信息情况、收到和处理政府信息公开申请情况、政府信息公开行政复议和行政诉讼情况、存在的主要问题及改进情况、其他需要报告的事项等六个部分。除特别说明的外，所列数据统计时限为2020年1月1日至2020年12月31日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报告电子版可在米林县人民政府网下载(网址http://www.milin.gov.cn)。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公众如需进一步咨询了解相关信息，请与米林县交通运输局办公室联系(地址：米林县福州路1号;邮编：860500;电话：0894—5453340)。</w:t>
      </w:r>
    </w:p>
    <w:p>
      <w:pPr>
        <w:widowControl w:val="0"/>
        <w:numPr>
          <w:ilvl w:val="0"/>
          <w:numId w:val="1"/>
        </w:numPr>
        <w:wordWrap/>
        <w:adjustRightInd/>
        <w:snapToGrid/>
        <w:spacing w:before="0" w:after="0" w:line="550" w:lineRule="exact"/>
        <w:ind w:left="640" w:leftChars="0" w:right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总体情况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before="0" w:after="0" w:line="55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局党组高度重视此项工作，将信息公开工作列入全局重要议事日程，按照中华人民共和国政府信息公开条例》(国务院令第711号，以下简称《条例》)，建立了单位主要领导负责，分管领导具体抓，各办公室相互配合的工作机制，明确工作责任，为做好信息公开工作提供了组织保障。同时及时主动上报信息，在米林县信息公开平台上公开，遵守公开、公平、便民的原则，除涉密信息外，如实及时公开。对应当公开的事项，按照规定的制度和程序，通过政府网站、电视等途径及时公开，努力提高工作的透明度，切实保障群众的知情权、参与权和监督权。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before="0" w:after="0" w:line="550" w:lineRule="exact"/>
        <w:ind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二、主动公开情况</w:t>
      </w:r>
    </w:p>
    <w:tbl>
      <w:tblPr>
        <w:tblStyle w:val="4"/>
        <w:tblW w:w="8860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83"/>
        <w:gridCol w:w="2070"/>
        <w:gridCol w:w="6"/>
        <w:gridCol w:w="1267"/>
        <w:gridCol w:w="213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8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6D9F1"/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  <w:jc w:val="center"/>
        </w:trPr>
        <w:tc>
          <w:tcPr>
            <w:tcW w:w="33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0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本年新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制作数量</w:t>
            </w:r>
          </w:p>
        </w:tc>
        <w:tc>
          <w:tcPr>
            <w:tcW w:w="12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本年新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公开数量</w:t>
            </w:r>
          </w:p>
        </w:tc>
        <w:tc>
          <w:tcPr>
            <w:tcW w:w="2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对外公开总数量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33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规章</w:t>
            </w:r>
          </w:p>
        </w:tc>
        <w:tc>
          <w:tcPr>
            <w:tcW w:w="20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2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33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规范性文件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8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6D9F1"/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33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0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12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本年增/减</w:t>
            </w:r>
          </w:p>
        </w:tc>
        <w:tc>
          <w:tcPr>
            <w:tcW w:w="2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33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20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16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33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其他对外管理服务事项</w:t>
            </w:r>
          </w:p>
        </w:tc>
        <w:tc>
          <w:tcPr>
            <w:tcW w:w="20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11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8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6D9F1"/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33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0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12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本年增/减</w:t>
            </w:r>
          </w:p>
        </w:tc>
        <w:tc>
          <w:tcPr>
            <w:tcW w:w="2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33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20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190</w:t>
            </w:r>
          </w:p>
        </w:tc>
        <w:tc>
          <w:tcPr>
            <w:tcW w:w="12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33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20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12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8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6D9F1"/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33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0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34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本年增/减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33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20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4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8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6D9F1"/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第二十条第（九）项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33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0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采购项目数量</w:t>
            </w:r>
          </w:p>
        </w:tc>
        <w:tc>
          <w:tcPr>
            <w:tcW w:w="34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采购总金额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33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政府集中采购</w:t>
            </w:r>
          </w:p>
        </w:tc>
        <w:tc>
          <w:tcPr>
            <w:tcW w:w="20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4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</w:tbl>
    <w:p>
      <w:pPr>
        <w:widowControl w:val="0"/>
        <w:numPr>
          <w:ilvl w:val="0"/>
          <w:numId w:val="0"/>
        </w:numPr>
        <w:wordWrap/>
        <w:adjustRightInd/>
        <w:snapToGrid/>
        <w:spacing w:before="0" w:after="0" w:line="576" w:lineRule="exact"/>
        <w:ind w:left="0" w:leftChars="0" w:right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 xml:space="preserve">    三、收到和处理政府信息公开申请情况</w:t>
      </w:r>
    </w:p>
    <w:tbl>
      <w:tblPr>
        <w:tblStyle w:val="4"/>
        <w:tblW w:w="9280" w:type="dxa"/>
        <w:jc w:val="center"/>
        <w:tblInd w:w="-17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4"/>
        <w:gridCol w:w="858"/>
        <w:gridCol w:w="2137"/>
        <w:gridCol w:w="828"/>
        <w:gridCol w:w="768"/>
        <w:gridCol w:w="767"/>
        <w:gridCol w:w="828"/>
        <w:gridCol w:w="993"/>
        <w:gridCol w:w="722"/>
        <w:gridCol w:w="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3669" w:type="dxa"/>
            <w:gridSpan w:val="3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（本列数据的勾稽关系为：第一项加第二项之和，等于第三项加第四项之和）</w:t>
            </w:r>
          </w:p>
        </w:tc>
        <w:tc>
          <w:tcPr>
            <w:tcW w:w="5611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申请人情况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3669" w:type="dxa"/>
            <w:gridSpan w:val="3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28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自然人</w:t>
            </w:r>
          </w:p>
        </w:tc>
        <w:tc>
          <w:tcPr>
            <w:tcW w:w="4078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法人或其他组织</w:t>
            </w:r>
          </w:p>
        </w:tc>
        <w:tc>
          <w:tcPr>
            <w:tcW w:w="70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2" w:hRule="atLeast"/>
          <w:jc w:val="center"/>
        </w:trPr>
        <w:tc>
          <w:tcPr>
            <w:tcW w:w="3669" w:type="dxa"/>
            <w:gridSpan w:val="3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2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6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商业企业</w:t>
            </w:r>
          </w:p>
        </w:tc>
        <w:tc>
          <w:tcPr>
            <w:tcW w:w="7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科研机构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社会公益组织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法律服务机构</w:t>
            </w:r>
          </w:p>
        </w:tc>
        <w:tc>
          <w:tcPr>
            <w:tcW w:w="7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其他</w:t>
            </w:r>
          </w:p>
        </w:tc>
        <w:tc>
          <w:tcPr>
            <w:tcW w:w="70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3669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一、本年新收政府信息公开申请数量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76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0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3669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二、上年结转政府信息公开申请数量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6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0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674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三、本年度办理结果</w:t>
            </w:r>
          </w:p>
        </w:tc>
        <w:tc>
          <w:tcPr>
            <w:tcW w:w="299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（一）予以公开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6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0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67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99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（二）部分公开（区分处理的，只计这一情形，不计其他情形）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6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0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67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58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（三）不予公开</w:t>
            </w:r>
          </w:p>
        </w:tc>
        <w:tc>
          <w:tcPr>
            <w:tcW w:w="213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1.属于国家秘密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76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7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7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70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67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5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13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2.其他法律行政法规禁止公开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76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7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7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70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67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5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13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3.危及“三安全一稳定”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76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7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7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70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67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5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13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4.保护第三方合法权益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76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7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7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70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67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5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13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5.属于三类内部事务信息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76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7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7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70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67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5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13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6.属于四类过程性信息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76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7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7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70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67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5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13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7.属于行政执法案卷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6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0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67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5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13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8.属于行政查询事项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6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0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67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58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（四）无法提供</w:t>
            </w:r>
          </w:p>
        </w:tc>
        <w:tc>
          <w:tcPr>
            <w:tcW w:w="213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1.本机关不掌握相关政府信息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6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0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67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5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13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2.没有现成信息需要另行制作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6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0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67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5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13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3.补正后申请内容仍不明确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6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0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2" w:hRule="atLeast"/>
          <w:jc w:val="center"/>
        </w:trPr>
        <w:tc>
          <w:tcPr>
            <w:tcW w:w="67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58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（五）不予处理</w:t>
            </w:r>
          </w:p>
        </w:tc>
        <w:tc>
          <w:tcPr>
            <w:tcW w:w="213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1.信访举报投诉类申请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6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0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67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5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13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2.重复申请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6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0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67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5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13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3.要求提供公开出版物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6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0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67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5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13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4.无正当理由大量反复申请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6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0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2" w:hRule="atLeast"/>
          <w:jc w:val="center"/>
        </w:trPr>
        <w:tc>
          <w:tcPr>
            <w:tcW w:w="67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5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13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5.要求行政机关确认或重新出具已获取信息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6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0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67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99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（六）其他处理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6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0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67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99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（七）总计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6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0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3669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四、结转下年度继续办理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6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0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</w:tbl>
    <w:p>
      <w:pPr>
        <w:widowControl w:val="0"/>
        <w:numPr>
          <w:ilvl w:val="0"/>
          <w:numId w:val="0"/>
        </w:numPr>
        <w:wordWrap/>
        <w:adjustRightInd/>
        <w:snapToGrid/>
        <w:spacing w:before="0" w:after="0" w:line="576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四、政府信息公开行政复议、行政诉讼情况</w:t>
      </w:r>
    </w:p>
    <w:tbl>
      <w:tblPr>
        <w:tblStyle w:val="4"/>
        <w:tblW w:w="907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Calibri" w:hAnsi="Calibri"/>
                <w:color w:val="auto"/>
                <w:sz w:val="20"/>
                <w:szCs w:val="20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Calibri" w:hAnsi="Calibri"/>
                <w:color w:val="auto"/>
                <w:sz w:val="20"/>
                <w:szCs w:val="20"/>
              </w:rPr>
              <w:t>行政诉讼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Calibri" w:hAnsi="Calibri"/>
                <w:color w:val="auto"/>
                <w:sz w:val="20"/>
                <w:szCs w:val="20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Calibri" w:hAnsi="Calibri"/>
                <w:color w:val="auto"/>
                <w:sz w:val="20"/>
                <w:szCs w:val="20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Calibri" w:hAnsi="Calibri"/>
                <w:color w:val="auto"/>
                <w:sz w:val="20"/>
                <w:szCs w:val="20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Calibri" w:hAnsi="Calibri"/>
                <w:color w:val="auto"/>
                <w:sz w:val="20"/>
                <w:szCs w:val="20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Calibri" w:hAnsi="Calibri"/>
                <w:color w:val="auto"/>
                <w:sz w:val="20"/>
                <w:szCs w:val="20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Calibri" w:hAnsi="Calibri"/>
                <w:color w:val="auto"/>
                <w:sz w:val="20"/>
                <w:szCs w:val="20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Calibri" w:hAnsi="Calibri"/>
                <w:color w:val="auto"/>
                <w:sz w:val="20"/>
                <w:szCs w:val="20"/>
              </w:rPr>
              <w:t>复议后起诉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60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658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Calibri" w:hAnsi="Calibri"/>
                <w:color w:val="auto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Calibri" w:hAnsi="Calibri"/>
                <w:color w:val="auto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Calibri" w:hAnsi="Calibri"/>
                <w:color w:val="auto"/>
                <w:sz w:val="20"/>
                <w:szCs w:val="20"/>
              </w:rPr>
              <w:t>其他结果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Calibri" w:hAnsi="Calibri"/>
                <w:color w:val="auto"/>
                <w:sz w:val="20"/>
                <w:szCs w:val="20"/>
              </w:rPr>
              <w:t>尚未审结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总计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Calibri" w:hAnsi="Calibri"/>
                <w:color w:val="auto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Calibri" w:hAnsi="Calibri"/>
                <w:color w:val="auto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Calibri" w:hAnsi="Calibri"/>
                <w:color w:val="auto"/>
                <w:sz w:val="20"/>
                <w:szCs w:val="20"/>
              </w:rPr>
              <w:t>尚未审结</w:t>
            </w:r>
          </w:p>
        </w:tc>
        <w:tc>
          <w:tcPr>
            <w:tcW w:w="6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</w:pPr>
          </w:p>
        </w:tc>
        <w:tc>
          <w:tcPr>
            <w:tcW w:w="6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</w:pPr>
          </w:p>
        </w:tc>
        <w:tc>
          <w:tcPr>
            <w:tcW w:w="6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</w:pPr>
          </w:p>
        </w:tc>
        <w:tc>
          <w:tcPr>
            <w:tcW w:w="6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</w:pPr>
          </w:p>
        </w:tc>
        <w:tc>
          <w:tcPr>
            <w:tcW w:w="6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</w:pP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</w:pP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</w:pP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</w:pP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</w:pP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</w:pP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</w:pPr>
          </w:p>
        </w:tc>
        <w:tc>
          <w:tcPr>
            <w:tcW w:w="6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</w:pPr>
          </w:p>
        </w:tc>
        <w:tc>
          <w:tcPr>
            <w:tcW w:w="6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</w:tr>
    </w:tbl>
    <w:p>
      <w:pPr>
        <w:widowControl/>
        <w:numPr>
          <w:ilvl w:val="0"/>
          <w:numId w:val="2"/>
        </w:numPr>
        <w:spacing w:line="576" w:lineRule="exact"/>
        <w:ind w:left="640" w:leftChars="0" w:firstLine="0" w:firstLineChars="0"/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</w:rPr>
        <w:t>存在的主要问题及改进情况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before="0" w:after="0" w:line="576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一是网上公开的信息量少，内容不够全面；二是网络功能不够完善；三是公开的力度不够，许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多涉及群众权益的信息公开不及时。</w:t>
      </w:r>
    </w:p>
    <w:p>
      <w:pPr>
        <w:widowControl/>
        <w:numPr>
          <w:ilvl w:val="0"/>
          <w:numId w:val="0"/>
        </w:numPr>
        <w:wordWrap/>
        <w:adjustRightInd/>
        <w:snapToGrid/>
        <w:spacing w:before="0" w:after="0" w:line="578" w:lineRule="exact"/>
        <w:ind w:right="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lang w:val="en-US" w:eastAsia="zh-CN"/>
        </w:rPr>
        <w:t xml:space="preserve">    六、</w:t>
      </w: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</w:rPr>
        <w:t>其他需要报告的事项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before="0" w:after="0" w:line="576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无其他需要报告的事项。</w:t>
      </w:r>
    </w:p>
    <w:sectPr>
      <w:headerReference r:id="rId3" w:type="default"/>
      <w:footerReference r:id="rId4" w:type="default"/>
      <w:pgMar w:top="2098" w:right="1474" w:bottom="1984" w:left="1587" w:header="720" w:footer="720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720" w:num="1"/>
      <w:docGrid w:linePitch="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  <w:pict>
        <v:shape id="文本框1" o:spid="_x0000_s4097" o:spt="202" type="#_x0000_t202" style="position:absolute;left:0pt;margin-top:0pt;height:144pt;width:144pt;mso-position-horizontal:outside;mso-position-horizontal-relative:margin;mso-wrap-style:none;z-index:251658240;mso-width-relative:page;mso-height-relative:page;" fillcolor="#FFFFFF" filled="f" o:preferrelative="t" stroked="f" coordsize="21600,21600">
          <v:path/>
          <v:fill on="f" color2="#FFFFFF" focussize="0,0"/>
          <v:stroke on="f"/>
          <v:imagedata gain="65536f" blacklevel="0f" gamma="0" o:title=""/>
          <o:lock v:ext="edit" position="f" selection="f" grouping="f" rotation="f" cropping="f" text="f" aspectratio="f"/>
          <v:textbox inset="0mm,0mm,0mm,0mm" style="mso-fit-shape-to-text:t;">
            <w:txbxContent>
              <w:p>
                <w:pPr>
                  <w:snapToGrid w:val="0"/>
                  <w:rPr>
                    <w:rFonts w:hint="eastAsia" w:eastAsia="宋体"/>
                    <w:sz w:val="18"/>
                    <w:lang w:eastAsia="zh-CN"/>
                  </w:rPr>
                </w:pP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fldChar w:fldCharType="separate"/>
                </w:r>
                <w:r>
                  <w:t>- 1 -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720E697"/>
    <w:multiLevelType w:val="singleLevel"/>
    <w:tmpl w:val="F720E697"/>
    <w:lvl w:ilvl="0" w:tentative="0">
      <w:start w:val="1"/>
      <w:numFmt w:val="chineseCounting"/>
      <w:suff w:val="nothing"/>
      <w:lvlText w:val="%1、"/>
      <w:lvlJc w:val="left"/>
      <w:pPr>
        <w:ind w:left="640" w:leftChars="0" w:firstLine="0" w:firstLineChars="0"/>
      </w:pPr>
      <w:rPr>
        <w:rFonts w:hint="eastAsia"/>
      </w:rPr>
    </w:lvl>
  </w:abstractNum>
  <w:abstractNum w:abstractNumId="1">
    <w:nsid w:val="FEA14216"/>
    <w:multiLevelType w:val="singleLevel"/>
    <w:tmpl w:val="FEA14216"/>
    <w:lvl w:ilvl="0" w:tentative="0">
      <w:start w:val="5"/>
      <w:numFmt w:val="chineseCounting"/>
      <w:suff w:val="nothing"/>
      <w:lvlText w:val="%1、"/>
      <w:lvlJc w:val="left"/>
      <w:pPr>
        <w:ind w:left="640" w:leftChars="0" w:firstLine="0" w:firstLineChars="0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 w:val="1"/>
  <w:bordersDoNotSurroundHeader w:val="1"/>
  <w:bordersDoNotSurroundFooter w:val="1"/>
  <w:documentProtection w:enforcement="0"/>
  <w:defaultTabStop w:val="50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0EF607B4"/>
    <w:rsid w:val="518D0D83"/>
    <w:rsid w:val="549D1E31"/>
    <w:rsid w:val="6A5B3BC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name="header"/>
    <w:lsdException w:qFormat="1"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0"/>
    <w:rPr>
      <w:rFonts w:ascii="Times New Roman" w:hAnsi="Times New Roman" w:cs="Times New Roman"/>
      <w:szCs w:val="20"/>
    </w:rPr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semiHidden/>
    <w:unhideWhenUsed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character" w:styleId="6">
    <w:name w:val="page number"/>
    <w:basedOn w:val="5"/>
    <w:semiHidden/>
    <w:unhideWhenUsed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0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2020-12-16T07:30:00Z</dcterms:created>
  <dc:creator>Administrator.HX-201810181747</dc:creator>
  <cp:lastModifiedBy>Administrator</cp:lastModifiedBy>
  <cp:lastPrinted>2021-01-28T04:32:00Z</cp:lastPrinted>
  <dcterms:modified xsi:type="dcterms:W3CDTF">2021-01-29T03:43:24Z</dcterms:modified>
  <dc:title>XXX2020年政府信息公开工作年度报告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